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8A0C9A">
      <w:pPr>
        <w:pStyle w:val="2"/>
        <w:spacing w:after="0" w:line="578" w:lineRule="exact"/>
        <w:ind w:firstLine="0" w:firstLineChars="0"/>
        <w:rPr>
          <w:rFonts w:ascii="方正仿宋_GBK" w:hAnsi="Arial" w:eastAsia="方正仿宋_GBK" w:cs="Arial"/>
          <w:b/>
          <w:spacing w:val="3"/>
          <w:sz w:val="32"/>
          <w:szCs w:val="32"/>
          <w:highlight w:val="none"/>
          <w:shd w:val="clear" w:color="auto" w:fill="FFFFFF"/>
        </w:rPr>
      </w:pPr>
      <w:bookmarkStart w:id="0" w:name="OLE_LINK34"/>
      <w:bookmarkStart w:id="1" w:name="OLE_LINK33"/>
    </w:p>
    <w:p w14:paraId="1F53BEFF">
      <w:pPr>
        <w:pStyle w:val="2"/>
        <w:spacing w:after="0" w:line="578" w:lineRule="exact"/>
        <w:ind w:firstLine="0" w:firstLineChars="0"/>
        <w:rPr>
          <w:rFonts w:ascii="方正小标宋_GBK" w:eastAsia="方正小标宋_GBK"/>
          <w:sz w:val="44"/>
          <w:szCs w:val="44"/>
          <w:highlight w:val="none"/>
        </w:rPr>
      </w:pPr>
      <w:bookmarkStart w:id="2" w:name="OLE_LINK211"/>
      <w:bookmarkStart w:id="3" w:name="OLE_LINK210"/>
      <w:r>
        <w:rPr>
          <w:rFonts w:hint="eastAsia" w:ascii="方正小标宋_GBK" w:eastAsia="方正小标宋_GBK"/>
          <w:sz w:val="44"/>
          <w:szCs w:val="44"/>
          <w:highlight w:val="none"/>
        </w:rPr>
        <w:t>盐城市推进科技型企业梯度培育若干政策措施</w:t>
      </w:r>
    </w:p>
    <w:p w14:paraId="51E6CB3E">
      <w:pPr>
        <w:pStyle w:val="2"/>
        <w:spacing w:after="0" w:line="578" w:lineRule="exact"/>
        <w:ind w:firstLine="0" w:firstLineChars="0"/>
        <w:jc w:val="center"/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val="en-US" w:eastAsia="zh-CN"/>
        </w:rPr>
        <w:t>征求意见稿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）</w:t>
      </w:r>
    </w:p>
    <w:p w14:paraId="072F8996">
      <w:pPr>
        <w:pStyle w:val="2"/>
        <w:spacing w:after="0" w:line="578" w:lineRule="exact"/>
        <w:ind w:firstLine="0" w:firstLineChars="0"/>
        <w:rPr>
          <w:rFonts w:ascii="方正小标宋_GBK" w:eastAsia="方正小标宋_GBK"/>
          <w:sz w:val="44"/>
          <w:szCs w:val="44"/>
          <w:highlight w:val="none"/>
        </w:rPr>
      </w:pPr>
      <w:bookmarkStart w:id="15" w:name="_GoBack"/>
      <w:bookmarkEnd w:id="15"/>
    </w:p>
    <w:p w14:paraId="3C5BC4E9">
      <w:pPr>
        <w:pStyle w:val="2"/>
        <w:spacing w:after="0" w:line="578" w:lineRule="exact"/>
        <w:ind w:firstLine="640" w:firstLineChars="200"/>
        <w:rPr>
          <w:rFonts w:ascii="方正仿宋_GBK" w:eastAsia="方正仿宋_GBK"/>
          <w:sz w:val="32"/>
          <w:szCs w:val="32"/>
          <w:highlight w:val="none"/>
        </w:rPr>
      </w:pPr>
      <w:r>
        <w:rPr>
          <w:rFonts w:hint="eastAsia" w:ascii="方正仿宋_GBK" w:eastAsia="方正仿宋_GBK"/>
          <w:sz w:val="32"/>
          <w:szCs w:val="32"/>
          <w:highlight w:val="none"/>
        </w:rPr>
        <w:t>为贯彻落实《盐城市科技型企业梯度培育三年行动计划》，构建覆盖科技型企业全生命周期扶持体系，结合我市实际，特制定本政策。</w:t>
      </w:r>
    </w:p>
    <w:p w14:paraId="0F19BF31">
      <w:pPr>
        <w:pStyle w:val="6"/>
        <w:spacing w:before="0" w:beforeAutospacing="0" w:after="0" w:afterAutospacing="0" w:line="578" w:lineRule="exact"/>
        <w:ind w:firstLine="640" w:firstLineChars="200"/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</w:pPr>
      <w:bookmarkStart w:id="4" w:name="OLE_LINK209"/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一、加大创新资源集聚力度。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探索科技创新要素集聚支持产业强链补链新机制，实施“科创伙伴计划”，对纳入“科创伙伴计划”的单位，每年最高支持300万元，对科创平台按研发投入给予最高20%，不超过200万元支持，鼓励对外开放共享，根据年度服务成效每年给予最高200万元绩效补助，所获补助的20%可用于人才引进或奖励。</w:t>
      </w:r>
    </w:p>
    <w:bookmarkEnd w:id="4"/>
    <w:p w14:paraId="0BF70BF8">
      <w:pPr>
        <w:spacing w:line="578" w:lineRule="exact"/>
        <w:ind w:firstLine="640" w:firstLineChars="200"/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</w:pPr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二、提升科技孵化载体质效。</w:t>
      </w:r>
      <w:bookmarkStart w:id="5" w:name="OLE_LINK231"/>
      <w:bookmarkStart w:id="6" w:name="OLE_LINK222"/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对新认定的国家、省级大学科技园分别最高奖励100万元、50万元。</w:t>
      </w:r>
      <w:bookmarkEnd w:id="5"/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对新获评部级、省级科技孵化器，按相应级别分别最高奖励100万元、50万元。对获批省级标杆孵化器，最高奖励50万元。对获批国家级、省级未来产业科技园，分别最高奖励200万元、100万元。</w:t>
      </w:r>
      <w:bookmarkEnd w:id="6"/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对年度绩效评价优秀等次的离岸科创中心、离岸孵化器，市财政最高奖励100万元、50万元；对良好等次的离岸科创中心、离岸孵化器，市财政最高奖励50万元、30万元。</w:t>
      </w:r>
    </w:p>
    <w:p w14:paraId="49F50AA4">
      <w:pPr>
        <w:pStyle w:val="6"/>
        <w:spacing w:before="0" w:beforeAutospacing="0" w:after="0" w:afterAutospacing="0" w:line="578" w:lineRule="exact"/>
        <w:ind w:firstLine="640" w:firstLineChars="200"/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</w:pPr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三、支持科技企业茁壮成长。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对高企培育企业首次达标申报的，每家给予最高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万元“高企服务券”补助。对当年首次认定的高新技术企业每家最高奖励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35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万元，重新认定的高新技术企业每家最高奖励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万元。实施瞪羚企业和独角兽企业培育计划，对首次通过国家、省、市评估发布的独角兽企业和潜在独角兽企业，按其上年研发投入的最高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30%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，分别奖励不超过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万元、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万元；对首次通过国家、省、市评估发布的雏鹰企业、瞪羚企业，按其上年研发投入的最高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20%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，分别奖励不超过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万元、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30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万元。对纳入国家、省科技重点企业培育库的企业自入库起三年，每年按上年度研发投入的最高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10%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，分别奖励不超过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万元、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</w:t>
      </w:r>
    </w:p>
    <w:p w14:paraId="3441E38F">
      <w:pPr>
        <w:pStyle w:val="6"/>
        <w:spacing w:before="0" w:beforeAutospacing="0" w:after="0" w:afterAutospacing="0" w:line="578" w:lineRule="exact"/>
        <w:ind w:firstLine="640" w:firstLineChars="200"/>
        <w:rPr>
          <w:rFonts w:ascii="Times New Roman" w:hAnsi="Times New Roman" w:eastAsia="方正楷体_GBK" w:cs="方正黑体_GBK"/>
          <w:sz w:val="32"/>
          <w:szCs w:val="32"/>
          <w:highlight w:val="none"/>
          <w:shd w:val="clear" w:color="auto" w:fill="FFFFFF"/>
        </w:rPr>
      </w:pPr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四、加强关键核心技术攻关。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对牵头承担国家、省科技重大专项，开展产业前沿技术和关键核心技术攻关的单位，按要求给予配套，单个项目最高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万元。围绕全市“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5+2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”战略性新兴产业和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23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条重点产业链，健全“揭榜挂帅”常态化推进机制，探索开展“赛马制”“里程碑”“业主制”等新型项目组织形式，开展制约产业技术重大创新的“卡脖子”技术攻关，分档择优给予单个项目资助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100-500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万元。支持面向未来产业前沿技术研发，单个项目资助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50-100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万元。紧扣新兴产业壮大、未来产业培育和传统产业焕新，支持开展产业关键共性技术研发，单个项目资助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30-50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万元。支持高新技术企业、重大科创平台联合产业链上下游企业、高校院所组建创新联合体，获省认定的奖励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万元，市“揭榜挂帅”项目对创新联合体给予优先支持。</w:t>
      </w:r>
    </w:p>
    <w:p w14:paraId="6BA43C3D">
      <w:pPr>
        <w:pStyle w:val="6"/>
        <w:spacing w:before="0" w:beforeAutospacing="0" w:after="0" w:afterAutospacing="0" w:line="578" w:lineRule="exact"/>
        <w:ind w:firstLine="640" w:firstLineChars="200"/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</w:pPr>
      <w:bookmarkStart w:id="7" w:name="OLE_LINK235"/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五、加速科技成果转移转化。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支持概念验证中心建设，对省级概念验证中心按照上年度服务费用的最高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20%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给予支持，总额不超过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万元。对首次被认定的长三角国创中心研发型企业、省技术先进型服务企业最高奖励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万元。科技型中小企业购买科技服务，通过创新券给予支持，每家企业每年领取创新券额度不超过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14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</w:t>
      </w:r>
      <w:bookmarkEnd w:id="7"/>
    </w:p>
    <w:p w14:paraId="440C1557">
      <w:pPr>
        <w:pStyle w:val="6"/>
        <w:spacing w:before="0" w:beforeAutospacing="0" w:after="0" w:afterAutospacing="0" w:line="578" w:lineRule="exact"/>
        <w:ind w:firstLine="640" w:firstLineChars="200"/>
        <w:rPr>
          <w:rFonts w:ascii="方正仿宋_GBK" w:eastAsia="方正仿宋_GBK"/>
          <w:sz w:val="32"/>
          <w:szCs w:val="32"/>
          <w:highlight w:val="none"/>
        </w:rPr>
      </w:pPr>
      <w:r>
        <w:rPr>
          <w:rFonts w:hint="eastAsia" w:ascii="方正黑体_GBK" w:hAnsi="Times New Roman" w:eastAsia="方正黑体_GBK" w:cs="方正黑体_GBK"/>
          <w:sz w:val="32"/>
          <w:szCs w:val="32"/>
          <w:highlight w:val="none"/>
          <w:shd w:val="clear" w:color="auto" w:fill="FFFFFF"/>
        </w:rPr>
        <w:t>六、加快企业科创载体建设。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对获批建设全国重点实验室、国家技术创新中心、产业创新中心、制造业创新中心，最高奖励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500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万元。对获批新建省重点实验室、技术创新中心、产业创新中心、制造业创新中心，最高奖励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200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万元。对获批组建院士工作站奖励</w:t>
      </w:r>
      <w:r>
        <w:rPr>
          <w:rFonts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100</w:t>
      </w:r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万元。企业获批省级工程研究中心、企业技术中心奖励20万元。企业与省产业技术研究院成立联合创新中心的</w:t>
      </w:r>
      <w:bookmarkStart w:id="8" w:name="OLE_LINK239"/>
      <w:bookmarkStart w:id="9" w:name="OLE_LINK240"/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，最高奖励50万元。获批省级外国专家工作室奖励20万元。对建成海外离岸创新中心的，最高支持100万元。</w:t>
      </w:r>
      <w:bookmarkStart w:id="10" w:name="OLE_LINK232"/>
      <w:bookmarkStart w:id="11" w:name="OLE_LINK233"/>
      <w:r>
        <w:rPr>
          <w:rFonts w:hint="eastAsia" w:ascii="Times New Roman" w:hAnsi="Times New Roman" w:eastAsia="方正仿宋_GBK" w:cs="方正黑体_GBK"/>
          <w:sz w:val="32"/>
          <w:szCs w:val="32"/>
          <w:highlight w:val="none"/>
          <w:shd w:val="clear" w:color="auto" w:fill="FFFFFF"/>
        </w:rPr>
        <w:t>获批建设省级以上国际科技创新合作载体，最高奖励50万元。</w:t>
      </w:r>
      <w:bookmarkEnd w:id="10"/>
      <w:bookmarkEnd w:id="11"/>
    </w:p>
    <w:p w14:paraId="3DA30AB4">
      <w:pPr>
        <w:spacing w:line="578" w:lineRule="exact"/>
        <w:ind w:firstLine="640" w:firstLineChars="200"/>
        <w:rPr>
          <w:rFonts w:ascii="Times New Roman" w:hAnsi="Times New Roman" w:eastAsia="方正仿宋_GBK"/>
          <w:sz w:val="32"/>
          <w:szCs w:val="32"/>
          <w:highlight w:val="none"/>
        </w:rPr>
      </w:pPr>
      <w:bookmarkStart w:id="12" w:name="OLE_LINK246"/>
      <w:bookmarkStart w:id="13" w:name="OLE_LINK247"/>
      <w:r>
        <w:rPr>
          <w:rFonts w:hint="eastAsia" w:ascii="方正黑体_GBK" w:eastAsia="方正黑体_GBK"/>
          <w:sz w:val="32"/>
          <w:szCs w:val="32"/>
          <w:highlight w:val="none"/>
        </w:rPr>
        <w:t>七、</w:t>
      </w:r>
      <w:r>
        <w:rPr>
          <w:rFonts w:hint="eastAsia" w:ascii="方正黑体_GBK" w:hAnsi="Times New Roman" w:eastAsia="方正黑体_GBK"/>
          <w:sz w:val="32"/>
          <w:szCs w:val="32"/>
          <w:highlight w:val="none"/>
        </w:rPr>
        <w:t>强化科技金融多维赋能</w:t>
      </w:r>
      <w:bookmarkStart w:id="14" w:name="OLE_LINK27"/>
      <w:r>
        <w:rPr>
          <w:rFonts w:hint="eastAsia" w:ascii="方正黑体_GBK" w:hAnsi="Times New Roman" w:eastAsia="方正黑体_GBK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经备案的天使投资、创业投资机构投资我市种子期、初创期科技企业，按其首轮实际投资额的15%给予奖励，单个机构年度奖励最高200万元；首轮投资发生损失的，经评估，按其投资的实际损失给予20%的补偿，每个投资项目市级风险补偿金额不超过200万元。</w:t>
      </w:r>
      <w:bookmarkEnd w:id="14"/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深化中小微企业“四贷联动”机制，推进“苏科贷”“人才贷”“专精特新贷”“技术成果转化贷”，根据省有关管理办法，按贷款本金损失的一定比例给予风险补偿。鼓励保险机构</w:t>
      </w:r>
      <w:r>
        <w:rPr>
          <w:rFonts w:hint="eastAsia" w:ascii="方正仿宋_GBK" w:eastAsia="方正仿宋_GBK"/>
          <w:sz w:val="32"/>
          <w:szCs w:val="32"/>
          <w:highlight w:val="none"/>
        </w:rPr>
        <w:t>开发支持科技型企业专属保险产品，建立科技保险风险补偿机制，对纳入政策性科技保险清单的险种产生的损失，按实际损失20%，给予最高200万元补偿。</w:t>
      </w:r>
    </w:p>
    <w:bookmarkEnd w:id="8"/>
    <w:bookmarkEnd w:id="9"/>
    <w:bookmarkEnd w:id="12"/>
    <w:bookmarkEnd w:id="13"/>
    <w:p w14:paraId="52A2FE2B">
      <w:pPr>
        <w:spacing w:line="578" w:lineRule="exact"/>
        <w:ind w:firstLine="640" w:firstLineChars="200"/>
        <w:rPr>
          <w:rFonts w:ascii="方正仿宋_GBK" w:eastAsia="方正仿宋_GBK"/>
          <w:sz w:val="32"/>
          <w:szCs w:val="32"/>
          <w:highlight w:val="none"/>
        </w:rPr>
      </w:pPr>
      <w:r>
        <w:rPr>
          <w:rFonts w:hint="eastAsia" w:ascii="方正仿宋_GBK" w:eastAsia="方正仿宋_GBK"/>
          <w:sz w:val="32"/>
          <w:szCs w:val="32"/>
          <w:highlight w:val="none"/>
        </w:rPr>
        <w:t>本政策自印发之日起施行，有效期至2028年12月31日，与其他各项同类政策按照“从优不重复”原则执行，除另有规定外，本政策所涉资金来源，市区财政按照五五比例分担。各县（市）可参照本政策措施，结合地方实际，出台相关政策文件。</w:t>
      </w:r>
      <w:bookmarkEnd w:id="0"/>
      <w:bookmarkEnd w:id="1"/>
      <w:bookmarkEnd w:id="2"/>
      <w:bookmarkEnd w:id="3"/>
    </w:p>
    <w:sectPr>
      <w:footerReference r:id="rId3" w:type="default"/>
      <w:pgSz w:w="11906" w:h="16838"/>
      <w:pgMar w:top="2098" w:right="1531" w:bottom="1928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25CAAE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2588260</wp:posOffset>
              </wp:positionH>
              <wp:positionV relativeFrom="paragraph">
                <wp:posOffset>-226060</wp:posOffset>
              </wp:positionV>
              <wp:extent cx="393700" cy="38481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3700" cy="3848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AD4DA8A">
                          <w:pPr>
                            <w:pStyle w:val="4"/>
                            <w:jc w:val="center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- 6 -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8pt;margin-top:-17.8pt;height:30.3pt;width:31pt;mso-position-horizontal-relative:margin;z-index:251659264;mso-width-relative:page;mso-height-relative:page;" filled="f" stroked="f" coordsize="21600,21600" o:gfxdata="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it9NnZAAAACgEAAA8AAAAAAAAAAQAgAAAAIgAAAGRycy9kb3ducmV2Lnht&#10;bFBLAQIUABQAAAAIAIdO4kDs6QqxMQIAAFUEAAAOAAAAAAAAAAEAIAAAACg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AD4DA8A">
                    <w:pPr>
                      <w:pStyle w:val="4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- 6 -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942DCF"/>
    <w:rsid w:val="0005336F"/>
    <w:rsid w:val="00096CCE"/>
    <w:rsid w:val="001278A1"/>
    <w:rsid w:val="0015420D"/>
    <w:rsid w:val="001D2559"/>
    <w:rsid w:val="00214309"/>
    <w:rsid w:val="00246EC4"/>
    <w:rsid w:val="00280944"/>
    <w:rsid w:val="0031688F"/>
    <w:rsid w:val="00331A9D"/>
    <w:rsid w:val="003355BA"/>
    <w:rsid w:val="00336142"/>
    <w:rsid w:val="00396655"/>
    <w:rsid w:val="004C620D"/>
    <w:rsid w:val="004F6D4A"/>
    <w:rsid w:val="00526B37"/>
    <w:rsid w:val="00622D7E"/>
    <w:rsid w:val="0066096F"/>
    <w:rsid w:val="006D3854"/>
    <w:rsid w:val="006D6A51"/>
    <w:rsid w:val="00755535"/>
    <w:rsid w:val="007C2393"/>
    <w:rsid w:val="00847434"/>
    <w:rsid w:val="00944E82"/>
    <w:rsid w:val="009C4669"/>
    <w:rsid w:val="009E25F3"/>
    <w:rsid w:val="00AD41B1"/>
    <w:rsid w:val="00AF1DA1"/>
    <w:rsid w:val="00B864A9"/>
    <w:rsid w:val="00C14F9D"/>
    <w:rsid w:val="00C50F94"/>
    <w:rsid w:val="00CF3CC3"/>
    <w:rsid w:val="00D50A1F"/>
    <w:rsid w:val="00E04F30"/>
    <w:rsid w:val="00F476E8"/>
    <w:rsid w:val="00FB028C"/>
    <w:rsid w:val="00FD22CF"/>
    <w:rsid w:val="032D7D1B"/>
    <w:rsid w:val="0AF7780B"/>
    <w:rsid w:val="0E574DE6"/>
    <w:rsid w:val="12C34799"/>
    <w:rsid w:val="2A443C84"/>
    <w:rsid w:val="325B232B"/>
    <w:rsid w:val="38072F92"/>
    <w:rsid w:val="49942DCF"/>
    <w:rsid w:val="50A103B0"/>
    <w:rsid w:val="67334BBF"/>
    <w:rsid w:val="72BA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autoSpaceDE/>
      <w:adjustRightInd/>
      <w:snapToGrid/>
      <w:ind w:firstLine="420" w:firstLineChars="100"/>
      <w:jc w:val="both"/>
    </w:pPr>
    <w:rPr>
      <w:rFonts w:asciiTheme="minorHAnsi" w:eastAsiaTheme="minorEastAsia"/>
      <w:snapToGrid/>
      <w:sz w:val="21"/>
    </w:rPr>
  </w:style>
  <w:style w:type="paragraph" w:styleId="3">
    <w:name w:val="Body Text"/>
    <w:basedOn w:val="1"/>
    <w:next w:val="1"/>
    <w:qFormat/>
    <w:uiPriority w:val="0"/>
    <w:pPr>
      <w:autoSpaceDE w:val="0"/>
      <w:adjustRightInd w:val="0"/>
      <w:snapToGrid w:val="0"/>
      <w:spacing w:after="120"/>
      <w:ind w:firstLine="640"/>
      <w:jc w:val="left"/>
    </w:pPr>
    <w:rPr>
      <w:rFonts w:ascii="方正黑体_GBK" w:eastAsia="方正黑体_GBK"/>
      <w:snapToGrid w:val="0"/>
      <w:sz w:val="32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5783</Words>
  <Characters>5981</Characters>
  <Lines>42</Lines>
  <Paragraphs>12</Paragraphs>
  <TotalTime>0</TotalTime>
  <ScaleCrop>false</ScaleCrop>
  <LinksUpToDate>false</LinksUpToDate>
  <CharactersWithSpaces>5981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2026-04-08T06:56:00Z</dcterms:created>
  <dc:creator></dc:creator>
  <cp:lastModifiedBy></cp:lastModifiedBy>
  <cp:lastPrinted>2026-04-08T06:57:00Z</cp:lastPrinted>
  <dcterms:modified xsi:type="dcterms:W3CDTF">2026-04-09T08:05:33Z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C4977109CFEC4628851F61B0563CF151_13</vt:lpwstr>
  </property>
  <property fmtid="{D5CDD505-2E9C-101B-9397-08002B2CF9AE}" pid="4" name="KSOTemplateDocerSaveRecord">
    <vt:lpwstr>eyJoZGlkIjoiYzE5MDk0ZmNhOWRkODJiMGI2MmI5NzM2Y2EyMzY1ZWUiLCJ1c2VySWQiOiIyNjYyNzYyNDkifQ==</vt:lpwstr>
  </property>
</Properties>
</file>