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FE98D6">
      <w:pPr>
        <w:pStyle w:val="2"/>
        <w:spacing w:after="0" w:line="578" w:lineRule="exact"/>
        <w:ind w:firstLine="210"/>
      </w:pPr>
    </w:p>
    <w:p w14:paraId="2013AAC8">
      <w:pPr>
        <w:pStyle w:val="2"/>
        <w:spacing w:after="0" w:line="578" w:lineRule="exact"/>
        <w:ind w:firstLine="0" w:firstLineChars="0"/>
        <w:jc w:val="center"/>
        <w:rPr>
          <w:rFonts w:ascii="方正小标宋_GBK" w:eastAsia="方正小标宋_GBK"/>
          <w:sz w:val="44"/>
          <w:szCs w:val="44"/>
        </w:rPr>
      </w:pPr>
      <w:bookmarkStart w:id="0" w:name="OLE_LINK15"/>
      <w:bookmarkStart w:id="1" w:name="OLE_LINK16"/>
      <w:r>
        <w:rPr>
          <w:rFonts w:hint="eastAsia" w:ascii="方正小标宋_GBK" w:eastAsia="方正小标宋_GBK"/>
          <w:sz w:val="44"/>
          <w:szCs w:val="44"/>
        </w:rPr>
        <w:t>盐城市科技型企业梯度培育三年行动计划</w:t>
      </w:r>
      <w:bookmarkEnd w:id="0"/>
      <w:bookmarkEnd w:id="1"/>
    </w:p>
    <w:p w14:paraId="4DEA0344">
      <w:pPr>
        <w:pStyle w:val="2"/>
        <w:spacing w:after="0" w:line="578" w:lineRule="exact"/>
        <w:ind w:firstLine="0" w:firstLineChars="0"/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（2026-2028年）</w:t>
      </w:r>
    </w:p>
    <w:p w14:paraId="322B4435">
      <w:pPr>
        <w:pStyle w:val="2"/>
        <w:spacing w:after="0" w:line="578" w:lineRule="exact"/>
        <w:ind w:firstLine="0" w:firstLineChars="0"/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楷体_GBK" w:hAnsi="方正楷体_GBK" w:eastAsia="方正楷体_GBK" w:cs="方正楷体_GBK"/>
          <w:sz w:val="32"/>
          <w:szCs w:val="32"/>
          <w:highlight w:val="none"/>
          <w:lang w:eastAsia="zh-CN"/>
        </w:rPr>
        <w:t>（</w:t>
      </w:r>
      <w:r>
        <w:rPr>
          <w:rFonts w:hint="eastAsia" w:ascii="方正楷体_GBK" w:hAnsi="方正楷体_GBK" w:eastAsia="方正楷体_GBK" w:cs="方正楷体_GBK"/>
          <w:sz w:val="32"/>
          <w:szCs w:val="32"/>
          <w:highlight w:val="none"/>
          <w:lang w:val="en-US" w:eastAsia="zh-CN"/>
        </w:rPr>
        <w:t>征求意见稿</w:t>
      </w:r>
      <w:r>
        <w:rPr>
          <w:rFonts w:hint="eastAsia" w:ascii="方正楷体_GBK" w:hAnsi="方正楷体_GBK" w:eastAsia="方正楷体_GBK" w:cs="方正楷体_GBK"/>
          <w:sz w:val="32"/>
          <w:szCs w:val="32"/>
          <w:highlight w:val="none"/>
          <w:lang w:eastAsia="zh-CN"/>
        </w:rPr>
        <w:t>）</w:t>
      </w:r>
    </w:p>
    <w:p w14:paraId="1DF463B5">
      <w:pPr>
        <w:pStyle w:val="2"/>
        <w:spacing w:after="0" w:line="578" w:lineRule="exact"/>
        <w:ind w:firstLine="0" w:firstLineChars="0"/>
        <w:rPr>
          <w:rFonts w:ascii="方正仿宋_GBK" w:eastAsia="方正仿宋_GBK"/>
          <w:sz w:val="32"/>
          <w:szCs w:val="32"/>
        </w:rPr>
      </w:pPr>
    </w:p>
    <w:p w14:paraId="1F362D59">
      <w:pPr>
        <w:shd w:val="clear" w:color="auto" w:fill="FFFFFF"/>
        <w:spacing w:line="578" w:lineRule="exact"/>
        <w:ind w:firstLine="640"/>
        <w:jc w:val="left"/>
        <w:rPr>
          <w:rFonts w:ascii="方正仿宋_GBK" w:hAnsi="宋体" w:eastAsia="方正仿宋_GBK" w:cs="宋体"/>
          <w:kern w:val="0"/>
          <w:sz w:val="32"/>
          <w:szCs w:val="32"/>
        </w:rPr>
      </w:pPr>
      <w:bookmarkStart w:id="2" w:name="OLE_LINK142"/>
      <w:bookmarkStart w:id="3" w:name="OLE_LINK143"/>
      <w:r>
        <w:rPr>
          <w:rFonts w:hint="eastAsia" w:ascii="方正仿宋_GBK" w:hAnsi="宋体" w:eastAsia="方正仿宋_GBK" w:cs="宋体"/>
          <w:kern w:val="0"/>
          <w:sz w:val="32"/>
          <w:szCs w:val="32"/>
        </w:rPr>
        <w:t>为贯彻国家、省支持科技型企业发展有关政策措施，</w:t>
      </w:r>
      <w:bookmarkStart w:id="4" w:name="OLE_LINK86"/>
      <w:bookmarkStart w:id="5" w:name="OLE_LINK85"/>
      <w:r>
        <w:rPr>
          <w:rFonts w:hint="eastAsia" w:ascii="方正仿宋_GBK" w:hAnsi="宋体" w:eastAsia="方正仿宋_GBK" w:cs="宋体"/>
          <w:kern w:val="0"/>
          <w:sz w:val="32"/>
          <w:szCs w:val="32"/>
        </w:rPr>
        <w:t>强化企业科技创新主体地位，</w:t>
      </w:r>
      <w:bookmarkEnd w:id="4"/>
      <w:bookmarkEnd w:id="5"/>
      <w:bookmarkStart w:id="6" w:name="OLE_LINK11"/>
      <w:bookmarkStart w:id="7" w:name="OLE_LINK12"/>
      <w:r>
        <w:rPr>
          <w:rFonts w:hint="eastAsia" w:ascii="方正仿宋_GBK" w:hAnsi="宋体" w:eastAsia="方正仿宋_GBK" w:cs="宋体"/>
          <w:kern w:val="0"/>
          <w:sz w:val="32"/>
          <w:szCs w:val="32"/>
        </w:rPr>
        <w:t>构建科技型企业梯度培育体系，推动形成“乔</w:t>
      </w:r>
      <w:bookmarkStart w:id="8" w:name="OLE_LINK26"/>
      <w:bookmarkStart w:id="9" w:name="OLE_LINK25"/>
      <w:r>
        <w:rPr>
          <w:rFonts w:hint="eastAsia" w:ascii="方正仿宋_GBK" w:hAnsi="宋体" w:eastAsia="方正仿宋_GBK" w:cs="宋体"/>
          <w:kern w:val="0"/>
          <w:sz w:val="32"/>
          <w:szCs w:val="32"/>
        </w:rPr>
        <w:t>木”</w:t>
      </w:r>
      <w:bookmarkEnd w:id="8"/>
      <w:bookmarkEnd w:id="9"/>
      <w:r>
        <w:rPr>
          <w:rFonts w:hint="eastAsia" w:ascii="方正仿宋_GBK" w:hAnsi="宋体" w:eastAsia="方正仿宋_GBK" w:cs="宋体"/>
          <w:kern w:val="0"/>
          <w:sz w:val="32"/>
          <w:szCs w:val="32"/>
        </w:rPr>
        <w:t>参天、“灌木”茁壮、“苗木”葱郁的科技型企业发展格局</w:t>
      </w:r>
      <w:bookmarkEnd w:id="6"/>
      <w:bookmarkEnd w:id="7"/>
      <w:r>
        <w:rPr>
          <w:rFonts w:hint="eastAsia" w:ascii="方正仿宋_GBK" w:hAnsi="宋体" w:eastAsia="方正仿宋_GBK" w:cs="宋体"/>
          <w:kern w:val="0"/>
          <w:sz w:val="32"/>
          <w:szCs w:val="32"/>
        </w:rPr>
        <w:t>，特制定本行动计划。</w:t>
      </w:r>
    </w:p>
    <w:p w14:paraId="26CF24FA">
      <w:pPr>
        <w:shd w:val="clear" w:color="auto" w:fill="FFFFFF"/>
        <w:spacing w:line="578" w:lineRule="exact"/>
        <w:ind w:firstLine="640"/>
        <w:jc w:val="left"/>
        <w:rPr>
          <w:rFonts w:ascii="方正黑体_GBK" w:hAnsi="Arial" w:eastAsia="方正黑体_GBK" w:cs="Arial"/>
          <w:bCs/>
          <w:spacing w:val="3"/>
          <w:sz w:val="32"/>
          <w:szCs w:val="32"/>
          <w:shd w:val="clear" w:color="auto" w:fill="FFFFFF"/>
        </w:rPr>
      </w:pPr>
      <w:r>
        <w:rPr>
          <w:rFonts w:hint="eastAsia" w:ascii="方正黑体_GBK" w:hAnsi="Arial" w:eastAsia="方正黑体_GBK" w:cs="Arial"/>
          <w:bCs/>
          <w:spacing w:val="3"/>
          <w:sz w:val="32"/>
          <w:szCs w:val="32"/>
          <w:shd w:val="clear" w:color="auto" w:fill="FFFFFF"/>
        </w:rPr>
        <w:t>一、总体要求</w:t>
      </w:r>
    </w:p>
    <w:p w14:paraId="31E52092">
      <w:pPr>
        <w:shd w:val="clear" w:color="auto" w:fill="FFFFFF"/>
        <w:spacing w:line="578" w:lineRule="exact"/>
        <w:ind w:firstLine="640"/>
        <w:jc w:val="left"/>
        <w:rPr>
          <w:rFonts w:ascii="方正仿宋_GBK" w:hAnsi="Arial" w:eastAsia="方正仿宋_GBK" w:cs="Arial"/>
          <w:bCs/>
          <w:spacing w:val="3"/>
          <w:sz w:val="32"/>
          <w:szCs w:val="32"/>
          <w:shd w:val="clear" w:color="auto" w:fill="FFFFFF"/>
        </w:rPr>
      </w:pPr>
      <w:r>
        <w:rPr>
          <w:rFonts w:hint="eastAsia" w:ascii="方正仿宋_GBK" w:hAnsi="Arial" w:eastAsia="方正仿宋_GBK" w:cs="Arial"/>
          <w:bCs/>
          <w:spacing w:val="3"/>
          <w:sz w:val="32"/>
          <w:szCs w:val="32"/>
          <w:shd w:val="clear" w:color="auto" w:fill="FFFFFF"/>
        </w:rPr>
        <w:t>聚焦科技型企业发展全生命周期，夯实“科技型中小企业-高新技术企业/专精特新企业-瞪羚企业-独角兽企业-科技领军企业”梯度培育体系，</w:t>
      </w:r>
      <w:bookmarkStart w:id="10" w:name="OLE_LINK110"/>
      <w:r>
        <w:rPr>
          <w:rFonts w:hint="eastAsia" w:ascii="方正仿宋_GBK" w:hAnsi="Arial" w:eastAsia="方正仿宋_GBK" w:cs="Arial"/>
          <w:bCs/>
          <w:spacing w:val="3"/>
          <w:sz w:val="32"/>
          <w:szCs w:val="32"/>
          <w:shd w:val="clear" w:color="auto" w:fill="FFFFFF"/>
        </w:rPr>
        <w:t>壮大提升科技型企业规模和质态</w:t>
      </w:r>
      <w:bookmarkEnd w:id="10"/>
      <w:r>
        <w:rPr>
          <w:rFonts w:hint="eastAsia" w:ascii="方正仿宋_GBK" w:hAnsi="Arial" w:eastAsia="方正仿宋_GBK" w:cs="Arial"/>
          <w:bCs/>
          <w:spacing w:val="3"/>
          <w:sz w:val="32"/>
          <w:szCs w:val="32"/>
          <w:shd w:val="clear" w:color="auto" w:fill="FFFFFF"/>
        </w:rPr>
        <w:t>，推动科技创新和产业创新深度融合，打造具有重要影响力的沿海产业科技创新高地。到2028年，新落地科技型项目和企业4500个以上，培育科技型中小企业6000家，高新技术企业力争超4500家，年新增省级以上专精特新中小企业数占全省比重10%左右，新增瞪羚企业100家以上，</w:t>
      </w:r>
      <w:bookmarkStart w:id="11" w:name="OLE_LINK160"/>
      <w:bookmarkStart w:id="12" w:name="OLE_LINK159"/>
      <w:r>
        <w:rPr>
          <w:rFonts w:hint="eastAsia" w:ascii="方正仿宋_GBK" w:hAnsi="Arial" w:eastAsia="方正仿宋_GBK" w:cs="Arial"/>
          <w:bCs/>
          <w:spacing w:val="3"/>
          <w:sz w:val="32"/>
          <w:szCs w:val="32"/>
          <w:shd w:val="clear" w:color="auto" w:fill="FFFFFF"/>
        </w:rPr>
        <w:t>独角兽企业和潜在独角兽企业达30家，科创型上市企业、科技领军企业培育取得突破。</w:t>
      </w:r>
      <w:bookmarkEnd w:id="11"/>
      <w:bookmarkEnd w:id="12"/>
    </w:p>
    <w:p w14:paraId="744F3C3D">
      <w:pPr>
        <w:shd w:val="clear" w:color="auto" w:fill="FFFFFF"/>
        <w:spacing w:line="578" w:lineRule="exact"/>
        <w:ind w:firstLine="640"/>
        <w:jc w:val="left"/>
        <w:rPr>
          <w:rFonts w:ascii="方正黑体_GBK" w:hAnsi="Arial" w:eastAsia="方正黑体_GBK" w:cs="Arial"/>
          <w:bCs/>
          <w:spacing w:val="3"/>
          <w:sz w:val="32"/>
          <w:szCs w:val="32"/>
          <w:shd w:val="clear" w:color="auto" w:fill="FFFFFF"/>
        </w:rPr>
      </w:pPr>
      <w:r>
        <w:rPr>
          <w:rFonts w:hint="eastAsia" w:ascii="方正黑体_GBK" w:hAnsi="Arial" w:eastAsia="方正黑体_GBK" w:cs="Arial"/>
          <w:bCs/>
          <w:spacing w:val="3"/>
          <w:sz w:val="32"/>
          <w:szCs w:val="32"/>
          <w:shd w:val="clear" w:color="auto" w:fill="FFFFFF"/>
        </w:rPr>
        <w:t>二、主要任务</w:t>
      </w:r>
    </w:p>
    <w:p w14:paraId="0CE8026F">
      <w:pPr>
        <w:shd w:val="clear" w:color="auto" w:fill="FFFFFF"/>
        <w:spacing w:line="578" w:lineRule="exact"/>
        <w:ind w:firstLine="652" w:firstLineChars="200"/>
        <w:jc w:val="left"/>
        <w:rPr>
          <w:rFonts w:ascii="方正楷体_GBK" w:hAnsi="Arial" w:eastAsia="方正楷体_GBK" w:cs="Arial"/>
          <w:bCs/>
          <w:spacing w:val="3"/>
          <w:sz w:val="32"/>
          <w:szCs w:val="32"/>
          <w:shd w:val="clear" w:color="auto" w:fill="FFFFFF"/>
        </w:rPr>
      </w:pPr>
      <w:bookmarkStart w:id="13" w:name="OLE_LINK77"/>
      <w:bookmarkStart w:id="14" w:name="OLE_LINK76"/>
      <w:r>
        <w:rPr>
          <w:rFonts w:hint="eastAsia" w:ascii="方正楷体_GBK" w:hAnsi="Arial" w:eastAsia="方正楷体_GBK" w:cs="Arial"/>
          <w:bCs/>
          <w:spacing w:val="3"/>
          <w:sz w:val="32"/>
          <w:szCs w:val="32"/>
          <w:shd w:val="clear" w:color="auto" w:fill="FFFFFF"/>
        </w:rPr>
        <w:t>（一）实施科技招商攻坚行动，助力科创企业“萌芽破土”</w:t>
      </w:r>
    </w:p>
    <w:p w14:paraId="1B58BD8D">
      <w:pPr>
        <w:pStyle w:val="2"/>
        <w:spacing w:after="0" w:line="578" w:lineRule="exact"/>
        <w:ind w:firstLine="655" w:firstLineChars="200"/>
        <w:rPr>
          <w:rFonts w:ascii="方正仿宋_GBK" w:hAnsi="方正仿宋_GBK" w:eastAsia="方正仿宋_GBK" w:cs="方正仿宋_GBK"/>
          <w:kern w:val="0"/>
          <w:sz w:val="32"/>
          <w:szCs w:val="32"/>
          <w:lang w:bidi="ar"/>
        </w:rPr>
      </w:pPr>
      <w:r>
        <w:rPr>
          <w:rFonts w:hint="eastAsia" w:ascii="方正仿宋_GBK" w:hAnsi="Arial" w:eastAsia="方正仿宋_GBK" w:cs="Arial"/>
          <w:b/>
          <w:bCs/>
          <w:spacing w:val="3"/>
          <w:sz w:val="32"/>
          <w:szCs w:val="32"/>
          <w:shd w:val="clear" w:color="auto" w:fill="FFFFFF"/>
        </w:rPr>
        <w:t>1.</w:t>
      </w:r>
      <w:bookmarkStart w:id="15" w:name="OLE_LINK73"/>
      <w:bookmarkStart w:id="16" w:name="OLE_LINK72"/>
      <w:r>
        <w:rPr>
          <w:rFonts w:hint="eastAsia" w:ascii="方正仿宋_GBK" w:hAnsi="方正仿宋_GBK" w:eastAsia="方正仿宋_GBK" w:cs="方正仿宋_GBK"/>
          <w:b/>
          <w:sz w:val="32"/>
          <w:szCs w:val="32"/>
        </w:rPr>
        <w:t>建强科技招商队伍。</w:t>
      </w:r>
      <w:bookmarkStart w:id="17" w:name="OLE_LINK52"/>
      <w:bookmarkStart w:id="18" w:name="OLE_LINK53"/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bidi="ar"/>
        </w:rPr>
        <w:t>统筹组建“专</w:t>
      </w:r>
      <w:bookmarkStart w:id="19" w:name="OLE_LINK51"/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bidi="ar"/>
        </w:rPr>
        <w:t>业化+市场化”</w:t>
      </w:r>
      <w:bookmarkEnd w:id="19"/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bidi="ar"/>
        </w:rPr>
        <w:t>两支科招队伍，全速推进科技招商。</w:t>
      </w:r>
      <w:bookmarkEnd w:id="17"/>
      <w:bookmarkEnd w:id="18"/>
      <w:bookmarkStart w:id="20" w:name="OLE_LINK56"/>
      <w:bookmarkStart w:id="21" w:name="OLE_LINK57"/>
      <w:bookmarkStart w:id="22" w:name="OLE_LINK58"/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bidi="ar"/>
        </w:rPr>
        <w:t>各板块选优配强科技招商专业人员，市县联动常态化举办科技招商培训，提升对科技成果、科技人才等创新资源识别能力，统筹组建“懂科技、懂产业、懂企业”专业化队伍100个。</w:t>
      </w:r>
      <w:bookmarkEnd w:id="20"/>
      <w:bookmarkEnd w:id="21"/>
      <w:bookmarkEnd w:id="22"/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bidi="ar"/>
        </w:rPr>
        <w:t>深入实施“科创伙伴计划”，围绕科技招商发展需求，丰富科创伙伴类型，新招募合作伙伴10家左右，鼓励各板块启动本地区伙伴计划，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组建“资源丰富、渠道多元”市场化队伍。</w:t>
      </w:r>
      <w:r>
        <w:rPr>
          <w:rFonts w:hint="eastAsia" w:ascii="方正楷体_GBK" w:hAnsi="Times New Roman" w:eastAsia="方正楷体_GBK" w:cs="Times New Roman"/>
          <w:sz w:val="32"/>
          <w:szCs w:val="32"/>
        </w:rPr>
        <w:t>（市科技局、市商务局等，各县（市、区）、盐城经济技术开发区、盐南高新区按照职责分工负责，以下均需各县（市、区）、盐城经济技术开发区、盐南高新区落实，不再单独列出）</w:t>
      </w:r>
    </w:p>
    <w:bookmarkEnd w:id="15"/>
    <w:bookmarkEnd w:id="16"/>
    <w:p w14:paraId="1EC471D6">
      <w:pPr>
        <w:spacing w:line="578" w:lineRule="exact"/>
        <w:ind w:firstLine="643" w:firstLineChars="200"/>
        <w:rPr>
          <w:rFonts w:ascii="方正仿宋_GBK" w:eastAsia="方正仿宋_GBK"/>
          <w:kern w:val="32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b/>
          <w:sz w:val="32"/>
          <w:szCs w:val="32"/>
        </w:rPr>
        <w:t>2.创新科技招商模式。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加速成果转商，全市域</w:t>
      </w:r>
      <w:bookmarkStart w:id="23" w:name="OLE_LINK71"/>
      <w:r>
        <w:rPr>
          <w:rFonts w:hint="eastAsia" w:ascii="Times New Roman" w:hAnsi="Times New Roman" w:eastAsia="方正仿宋_GBK" w:cs="Times New Roman"/>
          <w:sz w:val="32"/>
          <w:szCs w:val="32"/>
        </w:rPr>
        <w:t>推进</w:t>
      </w:r>
      <w:bookmarkEnd w:id="23"/>
      <w:r>
        <w:rPr>
          <w:rFonts w:hint="eastAsia" w:ascii="Times New Roman" w:hAnsi="Times New Roman" w:eastAsia="方正仿宋_GBK" w:cs="Times New Roman"/>
          <w:sz w:val="32"/>
          <w:szCs w:val="32"/>
        </w:rPr>
        <w:t>“拨投结合”机制，深化与长三角国创中心、省产研院合作，新落地15个以上“拨投结合”项目。鼓励平台育商，</w:t>
      </w:r>
      <w:r>
        <w:rPr>
          <w:rFonts w:hint="eastAsia" w:ascii="方正仿宋_GBK" w:eastAsia="方正仿宋_GBK"/>
          <w:kern w:val="32"/>
          <w:sz w:val="32"/>
          <w:szCs w:val="32"/>
        </w:rPr>
        <w:t>发挥国家技术转移东部中心、中科西伏河概念验证中心等高能级平台资源导入和孵化培育作用，筛选</w:t>
      </w:r>
      <w:bookmarkStart w:id="24" w:name="OLE_LINK84"/>
      <w:bookmarkStart w:id="25" w:name="OLE_LINK82"/>
      <w:bookmarkStart w:id="26" w:name="OLE_LINK83"/>
      <w:r>
        <w:rPr>
          <w:rFonts w:hint="eastAsia" w:ascii="方正仿宋_GBK" w:eastAsia="方正仿宋_GBK"/>
          <w:kern w:val="32"/>
          <w:sz w:val="32"/>
          <w:szCs w:val="32"/>
        </w:rPr>
        <w:t>导入</w:t>
      </w:r>
      <w:bookmarkEnd w:id="24"/>
      <w:bookmarkEnd w:id="25"/>
      <w:bookmarkEnd w:id="26"/>
      <w:r>
        <w:rPr>
          <w:rFonts w:hint="eastAsia" w:ascii="方正仿宋_GBK" w:eastAsia="方正仿宋_GBK"/>
          <w:kern w:val="32"/>
          <w:sz w:val="32"/>
          <w:szCs w:val="32"/>
        </w:rPr>
        <w:t>优质科技成果落地产业化。支持企业聚商，支持科技领军企业组建创新联合体、人才攻关联合体，吸引上下游企业</w:t>
      </w:r>
      <w:bookmarkStart w:id="27" w:name="OLE_LINK10"/>
      <w:bookmarkStart w:id="28" w:name="OLE_LINK13"/>
      <w:r>
        <w:rPr>
          <w:rFonts w:hint="eastAsia" w:ascii="方正仿宋_GBK" w:eastAsia="方正仿宋_GBK"/>
          <w:kern w:val="32"/>
          <w:sz w:val="32"/>
          <w:szCs w:val="32"/>
        </w:rPr>
        <w:t>落地</w:t>
      </w:r>
      <w:bookmarkEnd w:id="27"/>
      <w:bookmarkEnd w:id="28"/>
      <w:r>
        <w:rPr>
          <w:rFonts w:hint="eastAsia" w:ascii="方正仿宋_GBK" w:eastAsia="方正仿宋_GBK"/>
          <w:kern w:val="32"/>
          <w:sz w:val="32"/>
          <w:szCs w:val="32"/>
        </w:rPr>
        <w:t>。深化“以赛招商”，优化升级盐城市创新创业大赛赛制，市县联动建立参赛项目跟踪服务机制，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促进人才团队和企业研发项目落地实施。</w:t>
      </w:r>
      <w:r>
        <w:rPr>
          <w:rFonts w:hint="eastAsia" w:ascii="方正楷体_GBK" w:hAnsi="Times New Roman" w:eastAsia="方正楷体_GBK" w:cs="Times New Roman"/>
          <w:sz w:val="32"/>
          <w:szCs w:val="32"/>
        </w:rPr>
        <w:t>（市科技局、市委组织部</w:t>
      </w:r>
      <w:bookmarkStart w:id="29" w:name="OLE_LINK3"/>
      <w:bookmarkStart w:id="30" w:name="OLE_LINK2"/>
      <w:r>
        <w:rPr>
          <w:rFonts w:hint="eastAsia" w:ascii="方正楷体_GBK" w:hAnsi="Times New Roman" w:eastAsia="方正楷体_GBK" w:cs="Times New Roman"/>
          <w:sz w:val="32"/>
          <w:szCs w:val="32"/>
        </w:rPr>
        <w:t>、市商务局、市工信局、市发改委等按照职责分工负责</w:t>
      </w:r>
      <w:bookmarkEnd w:id="29"/>
      <w:bookmarkEnd w:id="30"/>
      <w:r>
        <w:rPr>
          <w:rFonts w:hint="eastAsia" w:ascii="方正楷体_GBK" w:hAnsi="Times New Roman" w:eastAsia="方正楷体_GBK" w:cs="Times New Roman"/>
          <w:sz w:val="32"/>
          <w:szCs w:val="32"/>
        </w:rPr>
        <w:t>）</w:t>
      </w:r>
    </w:p>
    <w:bookmarkEnd w:id="13"/>
    <w:bookmarkEnd w:id="14"/>
    <w:p w14:paraId="6866F41C">
      <w:pPr>
        <w:spacing w:line="578" w:lineRule="exact"/>
        <w:ind w:firstLine="643" w:firstLineChars="200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b/>
          <w:sz w:val="32"/>
          <w:szCs w:val="32"/>
        </w:rPr>
        <w:t>3.提升科技招商成效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。突出科创引领，加速产业技术创新和关键技术突破，一体引进科技成果、科创人才、科创载体、创投基金、科技服务业，实现科技成果落地转化，赋能产业高质量发展。</w:t>
      </w: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bidi="ar"/>
        </w:rPr>
        <w:t>密切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对接北京（京津冀）、上海（长三角）、粤港澳国际科技创新中心和武汉、成渝、西安区域科技创新中心，每年举办各类科招活动不少于60场。支持产业项目同步落地科技成果、建设研发机构、配置研发团队，每年新签约亿元以上科技型产业项目400个，鼓励重大项目在盐城绿色低碳科创园落地研发总部。重点选育掌握关键核心技术、拥有自主知识产权、具备高成长性的科技</w:t>
      </w:r>
      <w:r>
        <w:rPr>
          <w:rFonts w:hint="eastAsia" w:ascii="方正仿宋_GBK" w:hAnsi="方正仿宋_GBK" w:eastAsia="方正仿宋_GBK" w:cs="方正仿宋_GBK"/>
          <w:kern w:val="0"/>
          <w:sz w:val="32"/>
          <w:szCs w:val="32"/>
        </w:rPr>
        <w:t>型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中小企业和初创型科技项目，每年新落地科技</w:t>
      </w:r>
      <w:bookmarkStart w:id="31" w:name="OLE_LINK6"/>
      <w:bookmarkStart w:id="32" w:name="OLE_LINK5"/>
      <w:r>
        <w:rPr>
          <w:rFonts w:hint="eastAsia" w:ascii="方正仿宋_GBK" w:hAnsi="方正仿宋_GBK" w:eastAsia="方正仿宋_GBK" w:cs="方正仿宋_GBK"/>
          <w:sz w:val="32"/>
          <w:szCs w:val="32"/>
        </w:rPr>
        <w:t>型</w:t>
      </w:r>
      <w:bookmarkEnd w:id="31"/>
      <w:bookmarkEnd w:id="32"/>
      <w:r>
        <w:rPr>
          <w:rFonts w:hint="eastAsia" w:ascii="方正仿宋_GBK" w:hAnsi="方正仿宋_GBK" w:eastAsia="方正仿宋_GBK" w:cs="方正仿宋_GBK"/>
          <w:sz w:val="32"/>
          <w:szCs w:val="32"/>
        </w:rPr>
        <w:t>中小企业（项目）1100个以上。</w:t>
      </w:r>
      <w:r>
        <w:rPr>
          <w:rFonts w:hint="eastAsia" w:ascii="方正楷体_GBK" w:hAnsi="方正仿宋_GBK" w:eastAsia="方正楷体_GBK" w:cs="方正仿宋_GBK"/>
          <w:sz w:val="32"/>
          <w:szCs w:val="32"/>
        </w:rPr>
        <w:t>（市科技局、市商务局、市发改委、市工信局</w:t>
      </w:r>
      <w:bookmarkStart w:id="33" w:name="OLE_LINK4"/>
      <w:r>
        <w:rPr>
          <w:rFonts w:hint="eastAsia" w:ascii="方正楷体_GBK" w:hAnsi="Times New Roman" w:eastAsia="方正楷体_GBK" w:cs="Times New Roman"/>
          <w:sz w:val="32"/>
          <w:szCs w:val="32"/>
        </w:rPr>
        <w:t>等按照职责分工负责</w:t>
      </w:r>
      <w:bookmarkEnd w:id="33"/>
      <w:r>
        <w:rPr>
          <w:rFonts w:hint="eastAsia" w:ascii="方正楷体_GBK" w:hAnsi="方正仿宋_GBK" w:eastAsia="方正楷体_GBK" w:cs="方正仿宋_GBK"/>
          <w:sz w:val="32"/>
          <w:szCs w:val="32"/>
        </w:rPr>
        <w:t>）</w:t>
      </w:r>
    </w:p>
    <w:p w14:paraId="6EE4CF45">
      <w:pPr>
        <w:shd w:val="clear" w:color="auto" w:fill="FFFFFF"/>
        <w:spacing w:line="578" w:lineRule="exact"/>
        <w:ind w:firstLine="640"/>
        <w:jc w:val="left"/>
        <w:rPr>
          <w:rFonts w:ascii="方正楷体_GBK" w:hAnsi="Arial" w:eastAsia="方正楷体_GBK" w:cs="Arial"/>
          <w:bCs/>
          <w:spacing w:val="3"/>
          <w:sz w:val="32"/>
          <w:szCs w:val="32"/>
          <w:shd w:val="clear" w:color="auto" w:fill="FFFFFF"/>
        </w:rPr>
      </w:pPr>
      <w:bookmarkStart w:id="34" w:name="OLE_LINK102"/>
      <w:bookmarkStart w:id="35" w:name="OLE_LINK100"/>
      <w:bookmarkStart w:id="36" w:name="OLE_LINK101"/>
      <w:r>
        <w:rPr>
          <w:rFonts w:hint="eastAsia" w:ascii="方正楷体_GBK" w:hAnsi="Arial" w:eastAsia="方正楷体_GBK" w:cs="Arial"/>
          <w:bCs/>
          <w:spacing w:val="3"/>
          <w:sz w:val="32"/>
          <w:szCs w:val="32"/>
          <w:shd w:val="clear" w:color="auto" w:fill="FFFFFF"/>
        </w:rPr>
        <w:t>（二）实施科创企业培育行动，助力科创企业“扎根夯基”</w:t>
      </w:r>
    </w:p>
    <w:p w14:paraId="709EB472">
      <w:pPr>
        <w:pStyle w:val="2"/>
        <w:spacing w:after="0" w:line="578" w:lineRule="exact"/>
        <w:ind w:firstLine="643" w:firstLineChars="200"/>
        <w:rPr>
          <w:rFonts w:ascii="方正楷体_GBK" w:eastAsia="方正楷体_GBK"/>
          <w:sz w:val="32"/>
          <w:szCs w:val="32"/>
        </w:rPr>
      </w:pPr>
      <w:r>
        <w:rPr>
          <w:rFonts w:hint="eastAsia" w:ascii="方正仿宋_GBK" w:eastAsia="方正仿宋_GBK"/>
          <w:b/>
          <w:sz w:val="32"/>
          <w:szCs w:val="32"/>
        </w:rPr>
        <w:t>4.完善全链条孵化网络。</w:t>
      </w:r>
      <w:r>
        <w:rPr>
          <w:rFonts w:hint="eastAsia" w:ascii="方正仿宋_GBK" w:eastAsia="方正仿宋_GBK"/>
          <w:sz w:val="32"/>
          <w:szCs w:val="32"/>
        </w:rPr>
        <w:t>建好“孵化器-加速器-科技园区”，</w:t>
      </w:r>
      <w:bookmarkStart w:id="37" w:name="OLE_LINK119"/>
      <w:bookmarkStart w:id="38" w:name="OLE_LINK118"/>
      <w:r>
        <w:rPr>
          <w:rFonts w:hint="eastAsia" w:ascii="方正仿宋_GBK" w:eastAsia="方正仿宋_GBK"/>
          <w:sz w:val="32"/>
          <w:szCs w:val="32"/>
        </w:rPr>
        <w:t>贯穿“</w:t>
      </w:r>
      <w:bookmarkStart w:id="39" w:name="OLE_LINK104"/>
      <w:bookmarkStart w:id="40" w:name="OLE_LINK105"/>
      <w:r>
        <w:rPr>
          <w:rFonts w:hint="eastAsia" w:ascii="方正仿宋_GBK" w:eastAsia="方正仿宋_GBK"/>
          <w:sz w:val="32"/>
          <w:szCs w:val="32"/>
        </w:rPr>
        <w:t>概念验证-中试熟化-孵育孵化</w:t>
      </w:r>
      <w:bookmarkEnd w:id="39"/>
      <w:bookmarkEnd w:id="40"/>
      <w:r>
        <w:rPr>
          <w:rFonts w:hint="eastAsia" w:ascii="方正仿宋_GBK" w:eastAsia="方正仿宋_GBK"/>
          <w:sz w:val="32"/>
          <w:szCs w:val="32"/>
        </w:rPr>
        <w:t>”全链条，</w:t>
      </w:r>
      <w:bookmarkEnd w:id="37"/>
      <w:bookmarkEnd w:id="38"/>
      <w:r>
        <w:rPr>
          <w:rFonts w:hint="eastAsia" w:ascii="方正仿宋_GBK" w:eastAsia="方正仿宋_GBK"/>
          <w:sz w:val="32"/>
          <w:szCs w:val="32"/>
        </w:rPr>
        <w:t>推动“</w:t>
      </w:r>
      <w:bookmarkStart w:id="41" w:name="OLE_LINK92"/>
      <w:bookmarkStart w:id="42" w:name="OLE_LINK93"/>
      <w:r>
        <w:rPr>
          <w:rFonts w:hint="eastAsia" w:ascii="方正仿宋_GBK" w:eastAsia="方正仿宋_GBK"/>
          <w:sz w:val="32"/>
          <w:szCs w:val="32"/>
        </w:rPr>
        <w:t>产业+孵化</w:t>
      </w:r>
      <w:bookmarkEnd w:id="41"/>
      <w:bookmarkEnd w:id="42"/>
      <w:r>
        <w:rPr>
          <w:rFonts w:hint="eastAsia" w:ascii="方正仿宋_GBK" w:eastAsia="方正仿宋_GBK"/>
          <w:sz w:val="32"/>
          <w:szCs w:val="32"/>
        </w:rPr>
        <w:t>”“创投+孵化”等运营模式，提升科创企业孵化成效，新</w:t>
      </w:r>
      <w:bookmarkStart w:id="43" w:name="OLE_LINK109"/>
      <w:bookmarkStart w:id="44" w:name="OLE_LINK108"/>
      <w:r>
        <w:rPr>
          <w:rFonts w:hint="eastAsia" w:ascii="方正仿宋_GBK" w:eastAsia="方正仿宋_GBK"/>
          <w:sz w:val="32"/>
          <w:szCs w:val="32"/>
        </w:rPr>
        <w:t>增</w:t>
      </w:r>
      <w:bookmarkEnd w:id="43"/>
      <w:bookmarkEnd w:id="44"/>
      <w:r>
        <w:rPr>
          <w:rFonts w:hint="eastAsia" w:ascii="方正仿宋_GBK" w:eastAsia="方正仿宋_GBK"/>
          <w:sz w:val="32"/>
          <w:szCs w:val="32"/>
        </w:rPr>
        <w:t>省级以上孵化器30家，实现概念验证中心、</w:t>
      </w:r>
      <w:bookmarkStart w:id="45" w:name="OLE_LINK107"/>
      <w:bookmarkStart w:id="46" w:name="OLE_LINK106"/>
      <w:r>
        <w:rPr>
          <w:rFonts w:hint="eastAsia" w:ascii="方正仿宋_GBK" w:eastAsia="方正仿宋_GBK"/>
          <w:sz w:val="32"/>
          <w:szCs w:val="32"/>
        </w:rPr>
        <w:t>中试</w:t>
      </w:r>
      <w:bookmarkEnd w:id="45"/>
      <w:bookmarkEnd w:id="46"/>
      <w:r>
        <w:rPr>
          <w:rFonts w:hint="eastAsia" w:ascii="方正仿宋_GBK" w:eastAsia="方正仿宋_GBK"/>
          <w:sz w:val="32"/>
          <w:szCs w:val="32"/>
        </w:rPr>
        <w:t>平台县域全覆盖。</w:t>
      </w:r>
      <w:bookmarkStart w:id="47" w:name="OLE_LINK99"/>
      <w:bookmarkStart w:id="48" w:name="OLE_LINK98"/>
      <w:r>
        <w:rPr>
          <w:rFonts w:hint="eastAsia" w:ascii="方正仿宋_GBK" w:eastAsia="方正仿宋_GBK"/>
          <w:sz w:val="32"/>
          <w:szCs w:val="32"/>
        </w:rPr>
        <w:t>优化重组北京、上海、深圳、南京四地市离岸科创中心，</w:t>
      </w:r>
      <w:bookmarkEnd w:id="47"/>
      <w:bookmarkEnd w:id="48"/>
      <w:r>
        <w:rPr>
          <w:rFonts w:hint="eastAsia" w:ascii="方正仿宋_GBK" w:eastAsia="方正仿宋_GBK"/>
          <w:sz w:val="32"/>
          <w:szCs w:val="32"/>
        </w:rPr>
        <w:t>支持各板块</w:t>
      </w:r>
      <w:bookmarkStart w:id="49" w:name="OLE_LINK124"/>
      <w:bookmarkStart w:id="50" w:name="OLE_LINK123"/>
      <w:bookmarkStart w:id="51" w:name="OLE_LINK120"/>
      <w:r>
        <w:rPr>
          <w:rFonts w:hint="eastAsia" w:ascii="方正仿宋_GBK" w:eastAsia="方正仿宋_GBK"/>
          <w:sz w:val="32"/>
          <w:szCs w:val="32"/>
        </w:rPr>
        <w:t>因地制宜</w:t>
      </w:r>
      <w:bookmarkEnd w:id="49"/>
      <w:bookmarkEnd w:id="50"/>
      <w:bookmarkEnd w:id="51"/>
      <w:r>
        <w:rPr>
          <w:rFonts w:hint="eastAsia" w:ascii="方正仿宋_GBK" w:eastAsia="方正仿宋_GBK"/>
          <w:sz w:val="32"/>
          <w:szCs w:val="32"/>
        </w:rPr>
        <w:t>建设离岸孵化器和海外离岸科创中心，实现“域外创造孵化+盐城转化制造”。支持各板块建设青年友好型社区和园区，推进人工智能OPC创业模式，培育智能原生新业态。市级科技计划项目设置孵育专题，支持优质孵化器、离岸科创中心。</w:t>
      </w:r>
      <w:r>
        <w:rPr>
          <w:rFonts w:hint="eastAsia" w:ascii="方正楷体_GBK" w:eastAsia="方正楷体_GBK"/>
          <w:sz w:val="32"/>
          <w:szCs w:val="32"/>
        </w:rPr>
        <w:t>（市科技局、市工信局、市发改委、市政府驻京联络处、市政府驻上海联络处、市政府南京办事处、市政府驻深圳办事处</w:t>
      </w:r>
      <w:r>
        <w:rPr>
          <w:rFonts w:hint="eastAsia" w:ascii="方正楷体_GBK" w:hAnsi="Times New Roman" w:eastAsia="方正楷体_GBK" w:cs="Times New Roman"/>
          <w:sz w:val="32"/>
          <w:szCs w:val="32"/>
        </w:rPr>
        <w:t>等按照职责分工负责</w:t>
      </w:r>
      <w:r>
        <w:rPr>
          <w:rFonts w:hint="eastAsia" w:ascii="方正楷体_GBK" w:eastAsia="方正楷体_GBK"/>
          <w:sz w:val="32"/>
          <w:szCs w:val="32"/>
        </w:rPr>
        <w:t>）</w:t>
      </w:r>
    </w:p>
    <w:bookmarkEnd w:id="34"/>
    <w:bookmarkEnd w:id="35"/>
    <w:bookmarkEnd w:id="36"/>
    <w:p w14:paraId="6C8FAC9C">
      <w:pPr>
        <w:pStyle w:val="2"/>
        <w:spacing w:after="0" w:line="578" w:lineRule="exact"/>
        <w:ind w:firstLine="643" w:firstLineChars="20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b/>
          <w:sz w:val="32"/>
          <w:szCs w:val="32"/>
        </w:rPr>
        <w:t>5.健全全过程培育体系。</w:t>
      </w:r>
      <w:r>
        <w:rPr>
          <w:rFonts w:hint="eastAsia" w:ascii="方正仿宋_GBK" w:eastAsia="方正仿宋_GBK"/>
          <w:sz w:val="32"/>
          <w:szCs w:val="32"/>
        </w:rPr>
        <w:t>鼓励科技型中小企业加大研发投入，向新技术、新模式、新业态转型，到2028年力争通过国家入库科技型中小企业达6000家。持续推进高新技术企业培育，进一步完善市高企培育库入库培育机制，升级迭代市高企综合服务平台“培育企业筛选模型”，精准筛选不少于4000家培育种子企业，分层分类进行梯度培育。对照国家高企认定标准，指导申报企业开展对标补差，市县联动开展申报材料专家预评审，开发数智化审查工具，切实提高申报效率和质量，力争每年组织申报企业2000家左右，稳步壮大高企规模，到2028年，全市规上工业企业中高新技术企业占比突破45%。</w:t>
      </w:r>
      <w:r>
        <w:rPr>
          <w:rFonts w:hint="eastAsia" w:ascii="方正楷体_GBK" w:eastAsia="方正楷体_GBK"/>
          <w:sz w:val="32"/>
          <w:szCs w:val="32"/>
        </w:rPr>
        <w:t>（市科技局、市财政局、盐城税务局</w:t>
      </w:r>
      <w:r>
        <w:rPr>
          <w:rFonts w:hint="eastAsia" w:ascii="方正楷体_GBK" w:hAnsi="Times New Roman" w:eastAsia="方正楷体_GBK" w:cs="Times New Roman"/>
          <w:kern w:val="0"/>
          <w:sz w:val="32"/>
          <w:szCs w:val="32"/>
        </w:rPr>
        <w:t>等按照职责分工负责</w:t>
      </w:r>
      <w:r>
        <w:rPr>
          <w:rFonts w:hint="eastAsia" w:ascii="方正楷体_GBK" w:eastAsia="方正楷体_GBK"/>
          <w:sz w:val="32"/>
          <w:szCs w:val="32"/>
        </w:rPr>
        <w:t>）</w:t>
      </w:r>
    </w:p>
    <w:p w14:paraId="347EE836">
      <w:pPr>
        <w:pStyle w:val="2"/>
        <w:spacing w:after="0" w:line="578" w:lineRule="exact"/>
        <w:ind w:firstLine="643" w:firstLineChars="200"/>
        <w:rPr>
          <w:rFonts w:ascii="方正楷体_GBK" w:hAnsi="微软雅黑" w:eastAsia="方正楷体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/>
          <w:kern w:val="0"/>
          <w:sz w:val="32"/>
          <w:szCs w:val="32"/>
          <w:lang w:bidi="ar"/>
        </w:rPr>
        <w:t>6.构建全方位成长模式。</w:t>
      </w:r>
      <w:bookmarkStart w:id="52" w:name="OLE_LINK136"/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bidi="ar"/>
        </w:rPr>
        <w:t>落实《盐城市关于促进专精特新中小企业高质量发展的若干措施》，</w:t>
      </w:r>
      <w:r>
        <w:rPr>
          <w:rFonts w:hint="eastAsia" w:ascii="方正仿宋_GBK" w:hAnsi="微软雅黑" w:eastAsia="方正仿宋_GBK"/>
          <w:sz w:val="32"/>
          <w:szCs w:val="32"/>
        </w:rPr>
        <w:t>支持科技型中小企业专精特新发展。持续推进雏鹰企业、瞪羚企业、独角兽企业培育计划，围绕产业技术前沿领域，培育一批技术含量高、成长速度快、盈利能力强、产业模式新、发展潜力大的高成长性企业。</w:t>
      </w:r>
      <w:bookmarkEnd w:id="52"/>
      <w:r>
        <w:rPr>
          <w:rFonts w:hint="eastAsia" w:ascii="方正仿宋_GBK" w:hAnsi="微软雅黑" w:eastAsia="方正仿宋_GBK"/>
          <w:sz w:val="32"/>
          <w:szCs w:val="32"/>
        </w:rPr>
        <w:t>推动上市企业扩量，对符合条件的企业，</w:t>
      </w:r>
      <w:bookmarkStart w:id="53" w:name="OLE_LINK141"/>
      <w:bookmarkStart w:id="54" w:name="OLE_LINK140"/>
      <w:r>
        <w:rPr>
          <w:rFonts w:hint="eastAsia" w:ascii="方正仿宋_GBK" w:hAnsi="微软雅黑" w:eastAsia="方正仿宋_GBK"/>
          <w:sz w:val="32"/>
          <w:szCs w:val="32"/>
        </w:rPr>
        <w:t>积极争取纳入省科技企业上市培育计划，吸引各类资本接力式投资。</w:t>
      </w:r>
      <w:bookmarkStart w:id="55" w:name="OLE_LINK137"/>
      <w:bookmarkStart w:id="56" w:name="OLE_LINK138"/>
      <w:r>
        <w:rPr>
          <w:rFonts w:hint="eastAsia" w:ascii="方正仿宋_GBK" w:hAnsi="微软雅黑" w:eastAsia="方正仿宋_GBK"/>
          <w:sz w:val="32"/>
          <w:szCs w:val="32"/>
        </w:rPr>
        <w:t>强化科技领军企业培育，</w:t>
      </w:r>
      <w:bookmarkEnd w:id="55"/>
      <w:bookmarkEnd w:id="56"/>
      <w:r>
        <w:rPr>
          <w:rFonts w:hint="eastAsia" w:ascii="方正仿宋_GBK" w:hAnsi="微软雅黑" w:eastAsia="方正仿宋_GBK"/>
          <w:sz w:val="32"/>
          <w:szCs w:val="32"/>
        </w:rPr>
        <w:t>给予培育企业金融、人才、研发等政策集成支持。</w:t>
      </w:r>
      <w:r>
        <w:rPr>
          <w:rFonts w:hint="eastAsia" w:ascii="方正楷体_GBK" w:hAnsi="微软雅黑" w:eastAsia="方正楷体_GBK"/>
          <w:sz w:val="32"/>
          <w:szCs w:val="32"/>
        </w:rPr>
        <w:t>（市工信局、市科技局、市政府办金融条线</w:t>
      </w:r>
      <w:r>
        <w:rPr>
          <w:rFonts w:hint="eastAsia" w:ascii="方正楷体_GBK" w:hAnsi="Times New Roman" w:eastAsia="方正楷体_GBK" w:cs="Times New Roman"/>
          <w:kern w:val="0"/>
          <w:sz w:val="32"/>
          <w:szCs w:val="32"/>
        </w:rPr>
        <w:t>等按照职责分工负责</w:t>
      </w:r>
      <w:r>
        <w:rPr>
          <w:rFonts w:hint="eastAsia" w:ascii="方正楷体_GBK" w:hAnsi="微软雅黑" w:eastAsia="方正楷体_GBK"/>
          <w:sz w:val="32"/>
          <w:szCs w:val="32"/>
        </w:rPr>
        <w:t>）</w:t>
      </w:r>
    </w:p>
    <w:bookmarkEnd w:id="2"/>
    <w:bookmarkEnd w:id="3"/>
    <w:p w14:paraId="0AFEC055">
      <w:pPr>
        <w:shd w:val="clear" w:color="auto" w:fill="FFFFFF"/>
        <w:spacing w:line="578" w:lineRule="exact"/>
        <w:ind w:firstLine="640"/>
        <w:jc w:val="left"/>
        <w:rPr>
          <w:rFonts w:ascii="方正楷体_GBK" w:hAnsi="Arial" w:eastAsia="方正楷体_GBK" w:cs="Arial"/>
          <w:bCs/>
          <w:spacing w:val="3"/>
          <w:sz w:val="32"/>
          <w:szCs w:val="32"/>
          <w:shd w:val="clear" w:color="auto" w:fill="FFFFFF"/>
        </w:rPr>
      </w:pPr>
      <w:bookmarkStart w:id="57" w:name="OLE_LINK33"/>
      <w:bookmarkStart w:id="58" w:name="OLE_LINK34"/>
      <w:r>
        <w:rPr>
          <w:rFonts w:hint="eastAsia" w:ascii="方正楷体_GBK" w:hAnsi="Arial" w:eastAsia="方正楷体_GBK" w:cs="Arial"/>
          <w:bCs/>
          <w:spacing w:val="3"/>
          <w:sz w:val="32"/>
          <w:szCs w:val="32"/>
          <w:shd w:val="clear" w:color="auto" w:fill="FFFFFF"/>
        </w:rPr>
        <w:t>（三）实施</w:t>
      </w:r>
      <w:bookmarkStart w:id="59" w:name="OLE_LINK38"/>
      <w:bookmarkStart w:id="60" w:name="OLE_LINK37"/>
      <w:bookmarkStart w:id="61" w:name="OLE_LINK39"/>
      <w:r>
        <w:rPr>
          <w:rFonts w:hint="eastAsia" w:ascii="方正楷体_GBK" w:hAnsi="Arial" w:eastAsia="方正楷体_GBK" w:cs="Arial"/>
          <w:bCs/>
          <w:spacing w:val="3"/>
          <w:sz w:val="32"/>
          <w:szCs w:val="32"/>
          <w:shd w:val="clear" w:color="auto" w:fill="FFFFFF"/>
        </w:rPr>
        <w:t>创新</w:t>
      </w:r>
      <w:bookmarkEnd w:id="59"/>
      <w:bookmarkEnd w:id="60"/>
      <w:bookmarkEnd w:id="61"/>
      <w:r>
        <w:rPr>
          <w:rFonts w:hint="eastAsia" w:ascii="方正楷体_GBK" w:hAnsi="Arial" w:eastAsia="方正楷体_GBK" w:cs="Arial"/>
          <w:bCs/>
          <w:spacing w:val="3"/>
          <w:sz w:val="32"/>
          <w:szCs w:val="32"/>
          <w:shd w:val="clear" w:color="auto" w:fill="FFFFFF"/>
        </w:rPr>
        <w:t>能力提升行动，助力科</w:t>
      </w:r>
      <w:bookmarkEnd w:id="53"/>
      <w:bookmarkEnd w:id="54"/>
      <w:r>
        <w:rPr>
          <w:rFonts w:hint="eastAsia" w:ascii="方正楷体_GBK" w:hAnsi="Arial" w:eastAsia="方正楷体_GBK" w:cs="Arial"/>
          <w:bCs/>
          <w:spacing w:val="3"/>
          <w:sz w:val="32"/>
          <w:szCs w:val="32"/>
          <w:shd w:val="clear" w:color="auto" w:fill="FFFFFF"/>
        </w:rPr>
        <w:t>创企业“拔节生长”</w:t>
      </w:r>
    </w:p>
    <w:p w14:paraId="2253E8A1">
      <w:pPr>
        <w:pStyle w:val="2"/>
        <w:spacing w:after="0" w:line="578" w:lineRule="exact"/>
        <w:ind w:firstLine="643" w:firstLineChars="200"/>
        <w:rPr>
          <w:rFonts w:ascii="方正仿宋_GBK" w:eastAsia="方正仿宋_GBK"/>
          <w:sz w:val="32"/>
          <w:szCs w:val="32"/>
        </w:rPr>
      </w:pPr>
      <w:bookmarkStart w:id="62" w:name="OLE_LINK144"/>
      <w:bookmarkStart w:id="63" w:name="OLE_LINK145"/>
      <w:r>
        <w:rPr>
          <w:rFonts w:hint="eastAsia" w:ascii="方正仿宋_GBK" w:eastAsia="方正仿宋_GBK"/>
          <w:b/>
          <w:sz w:val="32"/>
          <w:szCs w:val="32"/>
        </w:rPr>
        <w:t>7.加强前沿技术攻关。</w:t>
      </w:r>
      <w:bookmarkEnd w:id="62"/>
      <w:bookmarkEnd w:id="63"/>
      <w:r>
        <w:rPr>
          <w:rFonts w:hint="eastAsia" w:ascii="方正仿宋_GBK" w:eastAsia="方正仿宋_GBK"/>
          <w:sz w:val="32"/>
          <w:szCs w:val="32"/>
        </w:rPr>
        <w:t>推行“企业出题、政府立题、科研解题、市场判题”模式，常态化征集企业研发项目和攻关建议，动态调整全市前沿技术攻关指南。优化“揭榜挂帅”“赛马制”等组织形式，设置“里程碑”节点，加快攻克一批战略性新兴产业和未来产业“卡脖子”技术。接续实施市级科技计划项目，每年部署“揭榜挂帅”等重大科技攻关项目10个左右，择优支持各类科技攻关项目100个以上。</w:t>
      </w:r>
      <w:r>
        <w:rPr>
          <w:rFonts w:hint="eastAsia" w:ascii="方正楷体_GBK" w:eastAsia="方正楷体_GBK"/>
          <w:sz w:val="32"/>
          <w:szCs w:val="32"/>
        </w:rPr>
        <w:t>（市科技局</w:t>
      </w:r>
      <w:r>
        <w:rPr>
          <w:rFonts w:hint="eastAsia" w:ascii="方正楷体_GBK" w:hAnsi="Times New Roman" w:eastAsia="方正楷体_GBK" w:cs="Times New Roman"/>
          <w:kern w:val="0"/>
          <w:sz w:val="32"/>
          <w:szCs w:val="32"/>
        </w:rPr>
        <w:t>等按照职责分工负责</w:t>
      </w:r>
      <w:r>
        <w:rPr>
          <w:rFonts w:hint="eastAsia" w:ascii="方正楷体_GBK" w:eastAsia="方正楷体_GBK"/>
          <w:sz w:val="32"/>
          <w:szCs w:val="32"/>
        </w:rPr>
        <w:t>）</w:t>
      </w:r>
    </w:p>
    <w:p w14:paraId="0B43DDE9">
      <w:pPr>
        <w:pStyle w:val="2"/>
        <w:spacing w:after="0" w:line="578" w:lineRule="exact"/>
        <w:ind w:firstLine="643" w:firstLineChars="200"/>
        <w:rPr>
          <w:rFonts w:ascii="方正仿宋_GBK" w:hAnsi="方正仿宋_GBK" w:eastAsia="方正仿宋_GBK" w:cs="方正仿宋_GBK"/>
          <w:kern w:val="0"/>
          <w:sz w:val="32"/>
          <w:szCs w:val="32"/>
          <w:lang w:bidi="ar"/>
        </w:rPr>
      </w:pPr>
      <w:r>
        <w:rPr>
          <w:rFonts w:hint="eastAsia" w:ascii="方正仿宋_GBK" w:eastAsia="方正仿宋_GBK"/>
          <w:b/>
          <w:sz w:val="32"/>
          <w:szCs w:val="32"/>
        </w:rPr>
        <w:t>8.加快科技成果转化。</w:t>
      </w:r>
      <w:r>
        <w:rPr>
          <w:rFonts w:hint="eastAsia" w:ascii="方正仿宋_GBK" w:eastAsia="方正仿宋_GBK"/>
          <w:sz w:val="32"/>
          <w:szCs w:val="32"/>
        </w:rPr>
        <w:t>发挥“盐科宝”数字科技平台作用，运用人工智能大模型精准匹配企业技术需求与高校院所科创资源，促进科创供需高效对接。建强专业化科技服务队伍，</w:t>
      </w: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bidi="ar"/>
        </w:rPr>
        <w:t>筹建技术经理人学院，</w:t>
      </w:r>
      <w:r>
        <w:rPr>
          <w:rFonts w:hint="eastAsia" w:ascii="方正仿宋_GBK" w:eastAsia="方正仿宋_GBK"/>
          <w:sz w:val="32"/>
          <w:szCs w:val="32"/>
        </w:rPr>
        <w:t>实现高企成果转化员配备培训全覆盖，每年新增持证技术经理人100名以上。办好长三角绿色低碳科技成果集市，动态更新各板块成果超市“技术商品”，推动全市技术合同成交额每年增长10%以上，力争2028年突破300亿元。</w:t>
      </w:r>
      <w:r>
        <w:rPr>
          <w:rFonts w:hint="eastAsia" w:ascii="方正楷体_GBK" w:hAnsi="方正仿宋_GBK" w:eastAsia="方正楷体_GBK" w:cs="方正仿宋_GBK"/>
          <w:kern w:val="0"/>
          <w:sz w:val="32"/>
          <w:szCs w:val="32"/>
          <w:lang w:bidi="ar"/>
        </w:rPr>
        <w:t>（市科技局、市商务局、江苏沿海可再生能源技术创新中心</w:t>
      </w:r>
      <w:r>
        <w:rPr>
          <w:rFonts w:hint="eastAsia" w:ascii="方正楷体_GBK" w:hAnsi="Times New Roman" w:eastAsia="方正楷体_GBK" w:cs="Times New Roman"/>
          <w:kern w:val="0"/>
          <w:sz w:val="32"/>
          <w:szCs w:val="32"/>
        </w:rPr>
        <w:t>等按照职责分工负责</w:t>
      </w:r>
      <w:r>
        <w:rPr>
          <w:rFonts w:hint="eastAsia" w:ascii="方正楷体_GBK" w:hAnsi="方正仿宋_GBK" w:eastAsia="方正楷体_GBK" w:cs="方正仿宋_GBK"/>
          <w:kern w:val="0"/>
          <w:sz w:val="32"/>
          <w:szCs w:val="32"/>
          <w:lang w:bidi="ar"/>
        </w:rPr>
        <w:t>）</w:t>
      </w:r>
    </w:p>
    <w:p w14:paraId="420E48F8">
      <w:pPr>
        <w:pStyle w:val="2"/>
        <w:spacing w:after="0" w:line="578" w:lineRule="exact"/>
        <w:ind w:firstLine="643" w:firstLineChars="200"/>
        <w:rPr>
          <w:rFonts w:ascii="方正楷体_GBK" w:eastAsia="方正楷体_GBK"/>
          <w:sz w:val="32"/>
          <w:szCs w:val="32"/>
        </w:rPr>
      </w:pPr>
      <w:r>
        <w:rPr>
          <w:rFonts w:hint="eastAsia" w:ascii="方正仿宋_GBK" w:eastAsia="方正仿宋_GBK"/>
          <w:b/>
          <w:sz w:val="32"/>
          <w:szCs w:val="32"/>
        </w:rPr>
        <w:t>9.加速科创平台建设。</w:t>
      </w:r>
      <w:bookmarkStart w:id="64" w:name="OLE_LINK260"/>
      <w:bookmarkStart w:id="65" w:name="OLE_LINK259"/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bidi="ar"/>
        </w:rPr>
        <w:t>推动企业研发机构扩面提能，支持科技型企业围绕“五有”标准，开展“一企业一中心”建设，到2028年，规上工业企业研发机构认定率提升至70%。</w:t>
      </w:r>
      <w:bookmarkEnd w:id="64"/>
      <w:bookmarkEnd w:id="65"/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bidi="ar"/>
        </w:rPr>
        <w:t>实施“实验室+”行动，</w:t>
      </w:r>
      <w:bookmarkStart w:id="66" w:name="OLE_LINK8"/>
      <w:bookmarkStart w:id="67" w:name="OLE_LINK7"/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bidi="ar"/>
        </w:rPr>
        <w:t>构建“实验室+龙头（链主）企业+协作企业”协同创新体系</w:t>
      </w:r>
      <w:bookmarkEnd w:id="66"/>
      <w:bookmarkEnd w:id="67"/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bidi="ar"/>
        </w:rPr>
        <w:t>，统筹推进重点实验室三级联创。</w:t>
      </w:r>
      <w:bookmarkStart w:id="68" w:name="OLE_LINK9"/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bidi="ar"/>
        </w:rPr>
        <w:t>依托市级重大创新平台计划，</w:t>
      </w:r>
      <w:bookmarkEnd w:id="68"/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bidi="ar"/>
        </w:rPr>
        <w:t>鼓励企业牵头建设技术创新中心、制造业创新中心、概念验证中心等创新平台，提升企业科创平台层次，支持各板块参照设立相关专项，联动予以支持。</w:t>
      </w:r>
      <w:r>
        <w:rPr>
          <w:rFonts w:hint="eastAsia" w:ascii="方正楷体_GBK" w:hAnsi="方正仿宋_GBK" w:eastAsia="方正楷体_GBK" w:cs="方正仿宋_GBK"/>
          <w:kern w:val="0"/>
          <w:sz w:val="32"/>
          <w:szCs w:val="32"/>
          <w:lang w:bidi="ar"/>
        </w:rPr>
        <w:t>（市科技局、市发改委、市工信局</w:t>
      </w:r>
      <w:r>
        <w:rPr>
          <w:rFonts w:hint="eastAsia" w:ascii="方正楷体_GBK" w:hAnsi="Times New Roman" w:eastAsia="方正楷体_GBK" w:cs="Times New Roman"/>
          <w:kern w:val="0"/>
          <w:sz w:val="32"/>
          <w:szCs w:val="32"/>
        </w:rPr>
        <w:t>等按照职责分工负责</w:t>
      </w:r>
      <w:r>
        <w:rPr>
          <w:rFonts w:hint="eastAsia" w:ascii="方正楷体_GBK" w:hAnsi="方正仿宋_GBK" w:eastAsia="方正楷体_GBK" w:cs="方正仿宋_GBK"/>
          <w:kern w:val="0"/>
          <w:sz w:val="32"/>
          <w:szCs w:val="32"/>
          <w:lang w:bidi="ar"/>
        </w:rPr>
        <w:t>）</w:t>
      </w:r>
    </w:p>
    <w:p w14:paraId="4A22C69E">
      <w:pPr>
        <w:shd w:val="clear" w:color="auto" w:fill="FFFFFF"/>
        <w:spacing w:line="578" w:lineRule="exact"/>
        <w:ind w:firstLine="640"/>
        <w:jc w:val="left"/>
        <w:rPr>
          <w:rFonts w:ascii="方正楷体_GBK" w:hAnsi="Arial" w:eastAsia="方正楷体_GBK" w:cs="Arial"/>
          <w:bCs/>
          <w:spacing w:val="3"/>
          <w:sz w:val="32"/>
          <w:szCs w:val="32"/>
          <w:shd w:val="clear" w:color="auto" w:fill="FFFFFF"/>
        </w:rPr>
      </w:pPr>
      <w:r>
        <w:rPr>
          <w:rFonts w:hint="eastAsia" w:ascii="方正楷体_GBK" w:hAnsi="Arial" w:eastAsia="方正楷体_GBK" w:cs="Arial"/>
          <w:bCs/>
          <w:spacing w:val="3"/>
          <w:sz w:val="32"/>
          <w:szCs w:val="32"/>
          <w:shd w:val="clear" w:color="auto" w:fill="FFFFFF"/>
        </w:rPr>
        <w:t>（四）实施创新要素赋能行动，助力科创企业“参天成材”</w:t>
      </w:r>
    </w:p>
    <w:p w14:paraId="5465C969">
      <w:pPr>
        <w:pStyle w:val="2"/>
        <w:spacing w:after="0" w:line="578" w:lineRule="exact"/>
        <w:ind w:firstLine="643" w:firstLineChars="200"/>
        <w:rPr>
          <w:rFonts w:ascii="方正楷体_GBK" w:eastAsia="方正楷体_GBK"/>
          <w:sz w:val="32"/>
          <w:szCs w:val="32"/>
        </w:rPr>
      </w:pPr>
      <w:r>
        <w:rPr>
          <w:rFonts w:hint="eastAsia" w:ascii="方正仿宋_GBK" w:eastAsia="方正仿宋_GBK"/>
          <w:b/>
          <w:sz w:val="32"/>
          <w:szCs w:val="32"/>
        </w:rPr>
        <w:t>10.深化产学研用合作。</w:t>
      </w:r>
      <w:r>
        <w:rPr>
          <w:rFonts w:hint="eastAsia" w:ascii="方正仿宋_GBK" w:eastAsia="方正仿宋_GBK"/>
          <w:sz w:val="32"/>
          <w:szCs w:val="32"/>
        </w:rPr>
        <w:t>主动融入上海（长三角）国际科创中心建设，</w:t>
      </w:r>
      <w:r>
        <w:rPr>
          <w:rFonts w:hint="eastAsia" w:ascii="方正仿宋_GBK" w:hAnsi="宋体" w:eastAsia="方正仿宋_GBK" w:cs="宋体"/>
          <w:kern w:val="0"/>
          <w:sz w:val="32"/>
          <w:szCs w:val="32"/>
        </w:rPr>
        <w:t>积极参与长三角联合攻关，</w:t>
      </w:r>
      <w:bookmarkStart w:id="69" w:name="OLE_LINK14"/>
      <w:r>
        <w:rPr>
          <w:rFonts w:hint="eastAsia" w:ascii="方正仿宋_GBK" w:hAnsi="宋体" w:eastAsia="方正仿宋_GBK" w:cs="宋体"/>
          <w:kern w:val="0"/>
          <w:sz w:val="32"/>
          <w:szCs w:val="32"/>
        </w:rPr>
        <w:t>加强重大科技基础设施等科技资源布局协同与互联互通，与</w:t>
      </w:r>
      <w:r>
        <w:rPr>
          <w:rFonts w:hint="eastAsia" w:ascii="Times New Roman" w:hAnsi="Times New Roman" w:eastAsia="方正仿宋_GBK"/>
          <w:sz w:val="32"/>
          <w:szCs w:val="32"/>
        </w:rPr>
        <w:t>长三角国家技术创新中心合作建设盐城绿碳创新港，</w:t>
      </w:r>
      <w:r>
        <w:rPr>
          <w:rFonts w:hint="eastAsia" w:ascii="方正仿宋_GBK" w:hAnsi="宋体" w:eastAsia="方正仿宋_GBK" w:cs="宋体"/>
          <w:kern w:val="0"/>
          <w:sz w:val="32"/>
          <w:szCs w:val="32"/>
        </w:rPr>
        <w:t>提升区域创新整体</w:t>
      </w:r>
      <w:bookmarkEnd w:id="69"/>
      <w:r>
        <w:rPr>
          <w:rFonts w:hint="eastAsia" w:ascii="方正仿宋_GBK" w:hAnsi="宋体" w:eastAsia="方正仿宋_GBK" w:cs="宋体"/>
          <w:kern w:val="0"/>
          <w:sz w:val="32"/>
          <w:szCs w:val="32"/>
        </w:rPr>
        <w:t>效能。</w:t>
      </w:r>
      <w:r>
        <w:rPr>
          <w:rFonts w:hint="eastAsia" w:ascii="方正仿宋_GBK" w:eastAsia="方正仿宋_GBK"/>
          <w:sz w:val="32"/>
          <w:szCs w:val="32"/>
        </w:rPr>
        <w:t>持续实施产学研用“十百千万”行动，深化校地、校企合作，推动海内外优质原创成果在企业转化应用，每年争取省产学研合作项目100项以上。</w:t>
      </w:r>
      <w:bookmarkStart w:id="70" w:name="OLE_LINK175"/>
      <w:r>
        <w:rPr>
          <w:rFonts w:hint="eastAsia" w:ascii="方正仿宋_GBK" w:eastAsia="方正仿宋_GBK"/>
          <w:sz w:val="32"/>
          <w:szCs w:val="32"/>
        </w:rPr>
        <w:t>深入推进“双高协同”，推动“优势产业集聚区+优势学科专业群”协同发展。</w:t>
      </w:r>
      <w:bookmarkEnd w:id="70"/>
      <w:bookmarkStart w:id="71" w:name="OLE_LINK125"/>
      <w:r>
        <w:rPr>
          <w:rFonts w:hint="eastAsia" w:ascii="方正仿宋_GBK" w:eastAsia="方正仿宋_GBK"/>
          <w:sz w:val="32"/>
          <w:szCs w:val="32"/>
        </w:rPr>
        <w:t>布局打造环大学创新创业生态圈，优化重塑大学科技园，推动省级以上大学科技园</w:t>
      </w:r>
      <w:bookmarkStart w:id="72" w:name="OLE_LINK114"/>
      <w:bookmarkStart w:id="73" w:name="OLE_LINK115"/>
      <w:bookmarkStart w:id="74" w:name="OLE_LINK113"/>
      <w:r>
        <w:rPr>
          <w:rFonts w:ascii="方正仿宋_GBK" w:eastAsia="方正仿宋_GBK"/>
          <w:sz w:val="32"/>
          <w:szCs w:val="32"/>
        </w:rPr>
        <w:t>完善科技成果转化链条建设</w:t>
      </w:r>
      <w:r>
        <w:rPr>
          <w:rFonts w:hint="eastAsia" w:ascii="方正仿宋_GBK" w:eastAsia="方正仿宋_GBK"/>
          <w:sz w:val="32"/>
          <w:szCs w:val="32"/>
        </w:rPr>
        <w:t>，</w:t>
      </w:r>
      <w:bookmarkEnd w:id="72"/>
      <w:bookmarkEnd w:id="73"/>
      <w:bookmarkEnd w:id="74"/>
      <w:r>
        <w:rPr>
          <w:rFonts w:hint="eastAsia" w:ascii="方正仿宋_GBK" w:eastAsia="方正仿宋_GBK"/>
          <w:sz w:val="32"/>
          <w:szCs w:val="32"/>
        </w:rPr>
        <w:t>形成“大学科技园孵化转移+开发园区落地转化”机制，加强成果转化和企业孵化。</w:t>
      </w:r>
      <w:bookmarkEnd w:id="71"/>
      <w:r>
        <w:rPr>
          <w:rFonts w:hint="eastAsia" w:ascii="方正仿宋_GBK" w:eastAsia="方正仿宋_GBK"/>
          <w:sz w:val="32"/>
          <w:szCs w:val="32"/>
        </w:rPr>
        <w:t>促进企业和高校团队双向适配，支持龙头企业联合上下游企业、高校院所建设创新联合体，每年新组建市级以上创新联合体不少于5个。</w:t>
      </w:r>
      <w:r>
        <w:rPr>
          <w:rFonts w:hint="eastAsia" w:ascii="方正楷体_GBK" w:eastAsia="方正楷体_GBK"/>
          <w:sz w:val="32"/>
          <w:szCs w:val="32"/>
        </w:rPr>
        <w:t>（市科技局、市委组织部、市教育局、市商务局</w:t>
      </w:r>
      <w:r>
        <w:rPr>
          <w:rFonts w:hint="eastAsia" w:ascii="方正楷体_GBK" w:hAnsi="Times New Roman" w:eastAsia="方正楷体_GBK" w:cs="Times New Roman"/>
          <w:kern w:val="0"/>
          <w:sz w:val="32"/>
          <w:szCs w:val="32"/>
        </w:rPr>
        <w:t>等按照职责分工负责</w:t>
      </w:r>
      <w:r>
        <w:rPr>
          <w:rFonts w:hint="eastAsia" w:ascii="方正楷体_GBK" w:eastAsia="方正楷体_GBK"/>
          <w:sz w:val="32"/>
          <w:szCs w:val="32"/>
        </w:rPr>
        <w:t>）</w:t>
      </w:r>
    </w:p>
    <w:p w14:paraId="6BBD5F15">
      <w:pPr>
        <w:pStyle w:val="2"/>
        <w:spacing w:after="0" w:line="578" w:lineRule="exact"/>
        <w:ind w:firstLine="643" w:firstLineChars="200"/>
        <w:rPr>
          <w:rFonts w:ascii="方正楷体_GBK" w:eastAsia="方正楷体_GBK"/>
          <w:sz w:val="32"/>
          <w:szCs w:val="32"/>
        </w:rPr>
      </w:pPr>
      <w:r>
        <w:rPr>
          <w:rFonts w:hint="eastAsia" w:ascii="方正仿宋_GBK" w:eastAsia="方正仿宋_GBK"/>
          <w:b/>
          <w:sz w:val="32"/>
          <w:szCs w:val="32"/>
        </w:rPr>
        <w:t>11.优化人才引育机制。</w:t>
      </w:r>
      <w:bookmarkStart w:id="75" w:name="OLE_LINK176"/>
      <w:r>
        <w:rPr>
          <w:rFonts w:hint="eastAsia" w:ascii="Times New Roman" w:hAnsi="Times New Roman" w:eastAsia="方正仿宋_GBK"/>
          <w:sz w:val="32"/>
          <w:szCs w:val="32"/>
        </w:rPr>
        <w:t>坚持靶向引才，构建“需求识别</w:t>
      </w:r>
      <w:r>
        <w:rPr>
          <w:rFonts w:ascii="Times New Roman" w:hAnsi="Times New Roman" w:eastAsia="方正仿宋_GBK"/>
          <w:sz w:val="32"/>
          <w:szCs w:val="32"/>
        </w:rPr>
        <w:t>-</w:t>
      </w:r>
      <w:r>
        <w:rPr>
          <w:rFonts w:hint="eastAsia" w:ascii="Times New Roman" w:hAnsi="Times New Roman" w:eastAsia="方正仿宋_GBK"/>
          <w:sz w:val="32"/>
          <w:szCs w:val="32"/>
        </w:rPr>
        <w:t>精准匹配</w:t>
      </w:r>
      <w:r>
        <w:rPr>
          <w:rFonts w:ascii="Times New Roman" w:hAnsi="Times New Roman" w:eastAsia="方正仿宋_GBK"/>
          <w:sz w:val="32"/>
          <w:szCs w:val="32"/>
        </w:rPr>
        <w:t>-</w:t>
      </w:r>
      <w:r>
        <w:rPr>
          <w:rFonts w:hint="eastAsia" w:ascii="Times New Roman" w:hAnsi="Times New Roman" w:eastAsia="方正仿宋_GBK"/>
          <w:sz w:val="32"/>
          <w:szCs w:val="32"/>
        </w:rPr>
        <w:t>动态服务”全链条引才体系，建立重点产业人才需求动态数据库，每年精准推荐匹配高层次人才3</w:t>
      </w:r>
      <w:r>
        <w:rPr>
          <w:rFonts w:ascii="Times New Roman" w:hAnsi="Times New Roman" w:eastAsia="方正仿宋_GBK"/>
          <w:sz w:val="32"/>
          <w:szCs w:val="32"/>
        </w:rPr>
        <w:t>00</w:t>
      </w:r>
      <w:r>
        <w:rPr>
          <w:rFonts w:hint="eastAsia" w:ascii="Times New Roman" w:hAnsi="Times New Roman" w:eastAsia="方正仿宋_GBK"/>
          <w:sz w:val="32"/>
          <w:szCs w:val="32"/>
        </w:rPr>
        <w:t>名以上</w:t>
      </w:r>
      <w:bookmarkEnd w:id="75"/>
      <w:r>
        <w:rPr>
          <w:rFonts w:hint="eastAsia" w:ascii="Times New Roman" w:hAnsi="Times New Roman" w:eastAsia="方正仿宋_GBK"/>
          <w:sz w:val="32"/>
          <w:szCs w:val="32"/>
        </w:rPr>
        <w:t>。</w:t>
      </w:r>
      <w:bookmarkStart w:id="76" w:name="OLE_LINK179"/>
      <w:bookmarkStart w:id="77" w:name="OLE_LINK178"/>
      <w:r>
        <w:rPr>
          <w:rFonts w:hint="eastAsia" w:ascii="Times New Roman" w:hAnsi="Times New Roman" w:eastAsia="方正仿宋_GBK"/>
          <w:sz w:val="32"/>
          <w:szCs w:val="32"/>
        </w:rPr>
        <w:t>支持科技型企业申报市级以上人才项目，引聘各类高端人才和急需紧缺人才，每年招引海内外高层次人才（团队）150个。推动产教深度融合，健全“校企人才双向交流”制度，每年新增省科技副总300名。</w:t>
      </w:r>
      <w:bookmarkEnd w:id="76"/>
      <w:bookmarkEnd w:id="77"/>
      <w:r>
        <w:rPr>
          <w:rFonts w:hint="eastAsia" w:ascii="Times New Roman" w:hAnsi="Times New Roman" w:eastAsia="方正仿宋_GBK"/>
          <w:sz w:val="32"/>
          <w:szCs w:val="32"/>
        </w:rPr>
        <w:t>发挥市应用基础研究计划导向作用，青年科研人员占比不低于50%。</w:t>
      </w:r>
      <w:r>
        <w:rPr>
          <w:rFonts w:hint="eastAsia" w:ascii="方正楷体_GBK" w:hAnsi="Times New Roman" w:eastAsia="方正楷体_GBK"/>
          <w:sz w:val="32"/>
          <w:szCs w:val="32"/>
        </w:rPr>
        <w:t>（市委组织部、市科技局、市工信局、市人社局</w:t>
      </w:r>
      <w:r>
        <w:rPr>
          <w:rFonts w:hint="eastAsia" w:ascii="方正楷体_GBK" w:hAnsi="Times New Roman" w:eastAsia="方正楷体_GBK" w:cs="Times New Roman"/>
          <w:kern w:val="0"/>
          <w:sz w:val="32"/>
          <w:szCs w:val="32"/>
        </w:rPr>
        <w:t>等按照职责分工负责</w:t>
      </w:r>
      <w:r>
        <w:rPr>
          <w:rFonts w:hint="eastAsia" w:ascii="方正楷体_GBK" w:hAnsi="Times New Roman" w:eastAsia="方正楷体_GBK"/>
          <w:sz w:val="32"/>
          <w:szCs w:val="32"/>
        </w:rPr>
        <w:t>）</w:t>
      </w:r>
    </w:p>
    <w:p w14:paraId="2A2CC620">
      <w:pPr>
        <w:pStyle w:val="2"/>
        <w:spacing w:after="0" w:line="578" w:lineRule="exact"/>
        <w:ind w:firstLine="643" w:firstLineChars="200"/>
        <w:rPr>
          <w:rFonts w:ascii="方正楷体_GBK" w:eastAsia="方正楷体_GBK"/>
          <w:sz w:val="32"/>
          <w:szCs w:val="32"/>
        </w:rPr>
      </w:pPr>
      <w:r>
        <w:rPr>
          <w:rFonts w:hint="eastAsia" w:ascii="方正仿宋_GBK" w:eastAsia="方正仿宋_GBK"/>
          <w:b/>
          <w:sz w:val="32"/>
          <w:szCs w:val="32"/>
        </w:rPr>
        <w:t>12.强化科技金融支撑。</w:t>
      </w:r>
      <w:r>
        <w:rPr>
          <w:rFonts w:hint="eastAsia" w:ascii="方正仿宋_GBK" w:eastAsia="方正仿宋_GBK"/>
          <w:sz w:val="32"/>
          <w:szCs w:val="32"/>
        </w:rPr>
        <w:t>发展壮大长期资本、耐心资本，用好创业投资奖补和风险补偿机制，吸引社会资本牵头或参与</w:t>
      </w: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bidi="ar"/>
        </w:rPr>
        <w:t>设立天使基金、成果转化基金、风险投资基金等创业类基金，组建盐城科技成果转化基金。</w:t>
      </w:r>
      <w:r>
        <w:rPr>
          <w:rFonts w:hint="eastAsia" w:ascii="方正仿宋_GBK" w:eastAsia="方正仿宋_GBK"/>
          <w:sz w:val="32"/>
          <w:szCs w:val="32"/>
        </w:rPr>
        <w:t>支持国有创投基金直投、领投、首投，建立以尽职合规责任豁免为核心的容错机制，建立完善尽职免责负面清单。深化中小微企业“四贷联动”机制，加大“苏科贷”“人才贷”“专精特新贷”“技术成果转化贷”支持覆盖面，积极发展“苏创积分贷”“苏科积分投”“苏创积分担”和知识产权质押融资。全面推广“科研保”等创新产品，</w:t>
      </w:r>
      <w:bookmarkStart w:id="78" w:name="OLE_LINK252"/>
      <w:bookmarkStart w:id="79" w:name="OLE_LINK253"/>
      <w:r>
        <w:rPr>
          <w:rFonts w:hint="eastAsia" w:ascii="方正仿宋_GBK" w:eastAsia="方正仿宋_GBK"/>
          <w:sz w:val="32"/>
          <w:szCs w:val="32"/>
        </w:rPr>
        <w:t>设立政策性科技保险清单，建立风险补偿机制，</w:t>
      </w:r>
      <w:bookmarkEnd w:id="78"/>
      <w:bookmarkEnd w:id="79"/>
      <w:bookmarkStart w:id="80" w:name="OLE_LINK254"/>
      <w:r>
        <w:rPr>
          <w:rFonts w:hint="eastAsia" w:ascii="方正仿宋_GBK" w:eastAsia="方正仿宋_GBK"/>
          <w:sz w:val="32"/>
          <w:szCs w:val="32"/>
        </w:rPr>
        <w:t>鼓励科技保险机构开发专属保险产品</w:t>
      </w:r>
      <w:bookmarkEnd w:id="80"/>
      <w:r>
        <w:rPr>
          <w:rFonts w:hint="eastAsia" w:ascii="方正仿宋_GBK" w:eastAsia="方正仿宋_GBK"/>
          <w:sz w:val="32"/>
          <w:szCs w:val="32"/>
        </w:rPr>
        <w:t>。积极开展金融资产投资公司股权投资、科技企业并购贷款、知识产权金融生态等试点工作，支持企业创新发展。</w:t>
      </w:r>
      <w:r>
        <w:rPr>
          <w:rFonts w:hint="eastAsia" w:ascii="方正楷体_GBK" w:eastAsia="方正楷体_GBK"/>
          <w:sz w:val="32"/>
          <w:szCs w:val="32"/>
        </w:rPr>
        <w:t>（市国资委、市财政局、市科技局、市工信局、市市场监管局、人民银行盐城市分行、盐城金融监管局、黄海金控集团</w:t>
      </w:r>
      <w:r>
        <w:rPr>
          <w:rFonts w:hint="eastAsia" w:ascii="方正楷体_GBK" w:hAnsi="Times New Roman" w:eastAsia="方正楷体_GBK" w:cs="Times New Roman"/>
          <w:kern w:val="0"/>
          <w:sz w:val="32"/>
          <w:szCs w:val="32"/>
        </w:rPr>
        <w:t>等按照职责分工负责</w:t>
      </w:r>
      <w:r>
        <w:rPr>
          <w:rFonts w:hint="eastAsia" w:ascii="方正楷体_GBK" w:eastAsia="方正楷体_GBK"/>
          <w:sz w:val="32"/>
          <w:szCs w:val="32"/>
        </w:rPr>
        <w:t>）</w:t>
      </w:r>
    </w:p>
    <w:p w14:paraId="7CFB130D">
      <w:pPr>
        <w:pStyle w:val="2"/>
        <w:spacing w:after="0" w:line="578" w:lineRule="exact"/>
        <w:ind w:firstLine="640" w:firstLineChars="200"/>
        <w:rPr>
          <w:rFonts w:ascii="方正黑体_GBK" w:eastAsia="方正黑体_GBK"/>
          <w:sz w:val="32"/>
          <w:szCs w:val="32"/>
        </w:rPr>
      </w:pPr>
      <w:r>
        <w:rPr>
          <w:rFonts w:hint="eastAsia" w:ascii="方正黑体_GBK" w:eastAsia="方正黑体_GBK"/>
          <w:sz w:val="32"/>
          <w:szCs w:val="32"/>
        </w:rPr>
        <w:t>三、保障措施</w:t>
      </w:r>
    </w:p>
    <w:p w14:paraId="07E3C78B">
      <w:pPr>
        <w:spacing w:line="578" w:lineRule="exact"/>
        <w:ind w:firstLine="652" w:firstLineChars="20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hAnsi="Arial" w:eastAsia="方正仿宋_GBK" w:cs="Arial"/>
          <w:bCs/>
          <w:spacing w:val="3"/>
          <w:sz w:val="32"/>
          <w:szCs w:val="32"/>
          <w:shd w:val="clear" w:color="auto" w:fill="FFFFFF"/>
        </w:rPr>
        <w:t>坚持全市“一盘棋”，上下联动，统筹协同。常态化开展科技型企业发展质量动态监测，建立科技型企业跟踪服务机制，常态化协调解决企业发展需求，引导企业实现高质量发展。拓展多元资金渠道，强化财政支持，引导金融和社会资本加大投入力度。对科技企业培育、重大创新平台建设、重点科技攻关任务、科技金融产品落地等实施稳定保障。加快科技创新政策落实，完善直达快享、免审即享等兑现机制，按期兑现奖励资金，进一步激发科技型企业活力。</w:t>
      </w:r>
      <w:bookmarkEnd w:id="57"/>
      <w:bookmarkEnd w:id="58"/>
      <w:bookmarkStart w:id="81" w:name="_GoBack"/>
      <w:bookmarkEnd w:id="81"/>
    </w:p>
    <w:sectPr>
      <w:footerReference r:id="rId3" w:type="default"/>
      <w:pgSz w:w="11906" w:h="16838"/>
      <w:pgMar w:top="2098" w:right="1531" w:bottom="1928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334254E"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2588260</wp:posOffset>
              </wp:positionH>
              <wp:positionV relativeFrom="paragraph">
                <wp:posOffset>-226060</wp:posOffset>
              </wp:positionV>
              <wp:extent cx="393700" cy="38481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3700" cy="38481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3F98A51">
                          <w:pPr>
                            <w:pStyle w:val="4"/>
                            <w:jc w:val="center"/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>- 12 -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03.8pt;margin-top:-17.8pt;height:30.3pt;width:31pt;mso-position-horizontal-relative:margin;z-index:251659264;mso-width-relative:page;mso-height-relative:page;" filled="f" stroked="f" coordsize="21600,21600" o:gfxdata="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 w14:paraId="13F98A51">
                    <w:pPr>
                      <w:pStyle w:val="4"/>
                      <w:jc w:val="center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- 12 -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9942DCF"/>
    <w:rsid w:val="0005336F"/>
    <w:rsid w:val="00096CCE"/>
    <w:rsid w:val="001278A1"/>
    <w:rsid w:val="0015420D"/>
    <w:rsid w:val="00177BF2"/>
    <w:rsid w:val="001D2559"/>
    <w:rsid w:val="00214309"/>
    <w:rsid w:val="00246EC4"/>
    <w:rsid w:val="00280944"/>
    <w:rsid w:val="0031688F"/>
    <w:rsid w:val="00331A9D"/>
    <w:rsid w:val="003355BA"/>
    <w:rsid w:val="00336142"/>
    <w:rsid w:val="00396655"/>
    <w:rsid w:val="00467869"/>
    <w:rsid w:val="004C620D"/>
    <w:rsid w:val="004F6D4A"/>
    <w:rsid w:val="00526B37"/>
    <w:rsid w:val="00622D7E"/>
    <w:rsid w:val="0066096F"/>
    <w:rsid w:val="00670CAD"/>
    <w:rsid w:val="006D3854"/>
    <w:rsid w:val="006D6A51"/>
    <w:rsid w:val="00755535"/>
    <w:rsid w:val="007C2393"/>
    <w:rsid w:val="00847434"/>
    <w:rsid w:val="00917694"/>
    <w:rsid w:val="00944E82"/>
    <w:rsid w:val="009C4669"/>
    <w:rsid w:val="009E25F3"/>
    <w:rsid w:val="00AD41B1"/>
    <w:rsid w:val="00AF1DA1"/>
    <w:rsid w:val="00B736D8"/>
    <w:rsid w:val="00B864A9"/>
    <w:rsid w:val="00C14F9D"/>
    <w:rsid w:val="00C50F94"/>
    <w:rsid w:val="00CE21BA"/>
    <w:rsid w:val="00CF3CC3"/>
    <w:rsid w:val="00D35630"/>
    <w:rsid w:val="00D50A1F"/>
    <w:rsid w:val="00E04F30"/>
    <w:rsid w:val="00F476E8"/>
    <w:rsid w:val="00FB028C"/>
    <w:rsid w:val="00FD22CF"/>
    <w:rsid w:val="032D7D1B"/>
    <w:rsid w:val="10713475"/>
    <w:rsid w:val="12C34799"/>
    <w:rsid w:val="2A443C84"/>
    <w:rsid w:val="38072F92"/>
    <w:rsid w:val="49942DCF"/>
    <w:rsid w:val="50A103B0"/>
    <w:rsid w:val="67334BBF"/>
    <w:rsid w:val="6EC33D48"/>
    <w:rsid w:val="72BA5B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unhideWhenUsed/>
    <w:qFormat/>
    <w:uiPriority w:val="99"/>
    <w:pPr>
      <w:autoSpaceDE/>
      <w:adjustRightInd/>
      <w:snapToGrid/>
      <w:ind w:firstLine="420" w:firstLineChars="100"/>
      <w:jc w:val="both"/>
    </w:pPr>
    <w:rPr>
      <w:rFonts w:asciiTheme="minorHAnsi" w:eastAsiaTheme="minorEastAsia"/>
      <w:snapToGrid/>
      <w:sz w:val="21"/>
    </w:rPr>
  </w:style>
  <w:style w:type="paragraph" w:styleId="3">
    <w:name w:val="Body Text"/>
    <w:basedOn w:val="1"/>
    <w:next w:val="1"/>
    <w:qFormat/>
    <w:uiPriority w:val="0"/>
    <w:pPr>
      <w:autoSpaceDE w:val="0"/>
      <w:adjustRightInd w:val="0"/>
      <w:snapToGrid w:val="0"/>
      <w:spacing w:after="120"/>
      <w:ind w:firstLine="640"/>
      <w:jc w:val="left"/>
    </w:pPr>
    <w:rPr>
      <w:rFonts w:ascii="方正黑体_GBK" w:eastAsia="方正黑体_GBK"/>
      <w:snapToGrid w:val="0"/>
      <w:sz w:val="32"/>
    </w:rPr>
  </w:style>
  <w:style w:type="paragraph" w:styleId="4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5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6">
    <w:name w:val="Normal (Web)"/>
    <w:basedOn w:val="1"/>
    <w:unhideWhenUsed/>
    <w:qFormat/>
    <w:uiPriority w:val="0"/>
    <w:pPr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8</Pages>
  <Words>5790</Words>
  <Characters>5988</Characters>
  <Lines>42</Lines>
  <Paragraphs>12</Paragraphs>
  <TotalTime>0</TotalTime>
  <ScaleCrop>false</ScaleCrop>
  <LinksUpToDate>false</LinksUpToDate>
  <CharactersWithSpaces>5988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2026-04-08T06:56:00Z</dcterms:created>
  <dc:creator></dc:creator>
  <cp:lastModifiedBy></cp:lastModifiedBy>
  <cp:lastPrinted>2026-04-08T06:57:00Z</cp:lastPrinted>
  <dcterms:modified xsi:type="dcterms:W3CDTF">2026-04-10T01:57:26Z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9752C1A5D02444DC88A60CC0B393B2C2_13</vt:lpwstr>
  </property>
  <property fmtid="{D5CDD505-2E9C-101B-9397-08002B2CF9AE}" pid="4" name="KSOTemplateDocerSaveRecord">
    <vt:lpwstr>eyJoZGlkIjoiYzE5MDk0ZmNhOWRkODJiMGI2MmI5NzM2Y2EyMzY1ZWUiLCJ1c2VySWQiOiIyNjYyNzYyNDkifQ==</vt:lpwstr>
  </property>
</Properties>
</file>